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D0" w:rsidRDefault="00DD65D0">
      <w:pPr>
        <w:rPr>
          <w:rFonts w:ascii="Tahoma" w:hAnsi="Tahoma" w:cs="Tahoma"/>
          <w:sz w:val="18"/>
          <w:szCs w:val="18"/>
        </w:rPr>
      </w:pPr>
    </w:p>
    <w:p w:rsidR="00006A46" w:rsidRDefault="00006A46">
      <w:pPr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noProof/>
          <w:color w:val="0077BB"/>
          <w:sz w:val="19"/>
          <w:szCs w:val="19"/>
        </w:rPr>
        <w:drawing>
          <wp:inline distT="0" distB="0" distL="0" distR="0" wp14:anchorId="108816F6" wp14:editId="4FE59A62">
            <wp:extent cx="1838325" cy="280010"/>
            <wp:effectExtent l="0" t="0" r="0" b="6350"/>
            <wp:docPr id="5" name="Picture 5" descr="C:\Users\aledford\Desktop\BCBSGA_rever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dford\Desktop\BCBSGA_revers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78" cy="28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S-Light" w:hAnsi="OS-Light" w:cs="Arial"/>
          <w:noProof/>
          <w:color w:val="428BCA"/>
          <w:sz w:val="23"/>
          <w:szCs w:val="23"/>
        </w:rPr>
        <w:t xml:space="preserve">            </w:t>
      </w:r>
      <w:r>
        <w:rPr>
          <w:rFonts w:ascii="OS-Light" w:hAnsi="OS-Light" w:cs="Arial"/>
          <w:noProof/>
          <w:color w:val="428BCA"/>
          <w:sz w:val="23"/>
          <w:szCs w:val="23"/>
        </w:rPr>
        <w:drawing>
          <wp:inline distT="0" distB="0" distL="0" distR="0" wp14:anchorId="38FF0B88" wp14:editId="2B6A27F7">
            <wp:extent cx="1362075" cy="281809"/>
            <wp:effectExtent l="0" t="0" r="0" b="4445"/>
            <wp:docPr id="6" name="Picture 6" descr="UnitedHealthCare Logo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HealthCare Logo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8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S-Light" w:hAnsi="OS-Light" w:cs="Arial"/>
          <w:noProof/>
          <w:color w:val="428BCA"/>
          <w:sz w:val="23"/>
          <w:szCs w:val="23"/>
        </w:rPr>
        <w:t xml:space="preserve">      </w:t>
      </w:r>
      <w:r>
        <w:rPr>
          <w:rFonts w:ascii="Tahoma" w:hAnsi="Tahoma" w:cs="Tahoma"/>
          <w:sz w:val="18"/>
          <w:szCs w:val="18"/>
        </w:rPr>
        <w:tab/>
      </w:r>
      <w:r w:rsidRPr="00F92CB5">
        <w:rPr>
          <w:rFonts w:ascii="inherit" w:eastAsia="Times New Roman" w:hAnsi="inherit" w:cs="Times New Roman"/>
          <w:b/>
          <w:bCs/>
          <w:noProof/>
          <w:color w:val="636363"/>
          <w:kern w:val="36"/>
          <w:sz w:val="58"/>
          <w:szCs w:val="58"/>
        </w:rPr>
        <w:drawing>
          <wp:inline distT="0" distB="0" distL="0" distR="0" wp14:anchorId="25D4603C" wp14:editId="5F7CA294">
            <wp:extent cx="1685925" cy="241806"/>
            <wp:effectExtent l="0" t="0" r="0" b="6350"/>
            <wp:docPr id="7" name="Picture 7" descr="Kaiser Permanente Hom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iser Permanente Hom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639" cy="24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46" w:rsidRDefault="00006A46">
      <w:pPr>
        <w:rPr>
          <w:rFonts w:ascii="Tahoma" w:hAnsi="Tahoma" w:cs="Tahoma"/>
          <w:sz w:val="18"/>
          <w:szCs w:val="18"/>
        </w:rPr>
      </w:pPr>
    </w:p>
    <w:p w:rsidR="009E2D34" w:rsidRDefault="001E174C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Employees have </w:t>
      </w:r>
      <w:r w:rsidR="00D3365B">
        <w:rPr>
          <w:rFonts w:ascii="Tahoma" w:hAnsi="Tahoma" w:cs="Tahoma"/>
          <w:sz w:val="18"/>
          <w:szCs w:val="18"/>
        </w:rPr>
        <w:t xml:space="preserve">the </w:t>
      </w:r>
      <w:r w:rsidRPr="004037DE">
        <w:rPr>
          <w:rFonts w:ascii="Tahoma" w:hAnsi="Tahoma" w:cs="Tahoma"/>
          <w:sz w:val="18"/>
          <w:szCs w:val="18"/>
        </w:rPr>
        <w:t xml:space="preserve">option to enroll or decline </w:t>
      </w:r>
      <w:r w:rsidR="009B7DF6">
        <w:rPr>
          <w:rFonts w:ascii="Tahoma" w:hAnsi="Tahoma" w:cs="Tahoma"/>
          <w:sz w:val="18"/>
          <w:szCs w:val="18"/>
        </w:rPr>
        <w:t>health insurance coverage.</w:t>
      </w:r>
      <w:r w:rsidR="00A657FA" w:rsidRPr="004037DE">
        <w:rPr>
          <w:rFonts w:ascii="Tahoma" w:hAnsi="Tahoma" w:cs="Tahoma"/>
          <w:sz w:val="18"/>
          <w:szCs w:val="18"/>
        </w:rPr>
        <w:t xml:space="preserve">  Detailed plan information can be found in the </w:t>
      </w:r>
      <w:hyperlink r:id="rId13" w:history="1">
        <w:r w:rsidR="00CB4909">
          <w:rPr>
            <w:rStyle w:val="Hyperlink"/>
            <w:rFonts w:ascii="Tahoma" w:hAnsi="Tahoma" w:cs="Tahoma"/>
            <w:b/>
            <w:sz w:val="18"/>
            <w:szCs w:val="18"/>
          </w:rPr>
          <w:t xml:space="preserve">Active Employee </w:t>
        </w:r>
        <w:r w:rsidR="00A657FA" w:rsidRPr="00753D64">
          <w:rPr>
            <w:rStyle w:val="Hyperlink"/>
            <w:rFonts w:ascii="Tahoma" w:hAnsi="Tahoma" w:cs="Tahoma"/>
            <w:b/>
            <w:sz w:val="18"/>
            <w:szCs w:val="18"/>
          </w:rPr>
          <w:t>Decision Guide</w:t>
        </w:r>
      </w:hyperlink>
      <w:r w:rsidR="00A657FA" w:rsidRPr="004037DE">
        <w:rPr>
          <w:rFonts w:ascii="Tahoma" w:hAnsi="Tahoma" w:cs="Tahoma"/>
          <w:color w:val="0070C0"/>
          <w:sz w:val="18"/>
          <w:szCs w:val="18"/>
        </w:rPr>
        <w:t xml:space="preserve"> </w:t>
      </w:r>
      <w:r w:rsidR="00A657FA" w:rsidRPr="004037DE">
        <w:rPr>
          <w:rFonts w:ascii="Tahoma" w:hAnsi="Tahoma" w:cs="Tahoma"/>
          <w:sz w:val="18"/>
          <w:szCs w:val="18"/>
        </w:rPr>
        <w:t xml:space="preserve">or on </w:t>
      </w:r>
      <w:hyperlink r:id="rId14" w:history="1">
        <w:r w:rsidR="00A657FA" w:rsidRPr="00753D64">
          <w:rPr>
            <w:rStyle w:val="Hyperlink"/>
            <w:rFonts w:ascii="Tahoma" w:hAnsi="Tahoma" w:cs="Tahoma"/>
            <w:b/>
            <w:sz w:val="18"/>
            <w:szCs w:val="18"/>
          </w:rPr>
          <w:t xml:space="preserve">State Health Benefit Plan </w:t>
        </w:r>
        <w:r w:rsidR="00EF7F6B" w:rsidRPr="00753D64">
          <w:rPr>
            <w:rStyle w:val="Hyperlink"/>
            <w:rFonts w:ascii="Tahoma" w:hAnsi="Tahoma" w:cs="Tahoma"/>
            <w:b/>
            <w:sz w:val="18"/>
            <w:szCs w:val="18"/>
          </w:rPr>
          <w:t xml:space="preserve">(SHBP) </w:t>
        </w:r>
        <w:r w:rsidR="00A657FA" w:rsidRPr="00753D64">
          <w:rPr>
            <w:rStyle w:val="Hyperlink"/>
            <w:rFonts w:ascii="Tahoma" w:hAnsi="Tahoma" w:cs="Tahoma"/>
            <w:b/>
            <w:sz w:val="18"/>
            <w:szCs w:val="18"/>
          </w:rPr>
          <w:t>website</w:t>
        </w:r>
        <w:r w:rsidR="009E2D34" w:rsidRPr="00753D64">
          <w:rPr>
            <w:rStyle w:val="Hyperlink"/>
            <w:rFonts w:ascii="Tahoma" w:hAnsi="Tahoma" w:cs="Tahoma"/>
            <w:b/>
            <w:sz w:val="18"/>
            <w:szCs w:val="18"/>
          </w:rPr>
          <w:t>.</w:t>
        </w:r>
      </w:hyperlink>
      <w:r w:rsidR="00A657FA" w:rsidRPr="009E2D34">
        <w:rPr>
          <w:rFonts w:ascii="Tahoma" w:hAnsi="Tahoma" w:cs="Tahoma"/>
          <w:color w:val="4F81BD" w:themeColor="accent1"/>
          <w:sz w:val="18"/>
          <w:szCs w:val="18"/>
        </w:rPr>
        <w:t xml:space="preserve"> </w:t>
      </w:r>
      <w:r w:rsidR="009E2D34">
        <w:rPr>
          <w:rFonts w:ascii="Tahoma" w:hAnsi="Tahoma" w:cs="Tahoma"/>
          <w:sz w:val="18"/>
          <w:szCs w:val="18"/>
        </w:rPr>
        <w:t xml:space="preserve">  </w:t>
      </w:r>
    </w:p>
    <w:p w:rsidR="00AD53D5" w:rsidRDefault="00176DDE" w:rsidP="00AD53D5">
      <w:pPr>
        <w:ind w:left="720" w:firstLine="7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(Link to Active Employee Decision Guide</w:t>
      </w:r>
      <w:r w:rsidR="00CD103A">
        <w:rPr>
          <w:rFonts w:ascii="Tahoma" w:hAnsi="Tahoma" w:cs="Tahoma"/>
          <w:i/>
          <w:sz w:val="18"/>
          <w:szCs w:val="18"/>
        </w:rPr>
        <w:t xml:space="preserve"> pdf</w:t>
      </w:r>
      <w:r>
        <w:rPr>
          <w:rFonts w:ascii="Tahoma" w:hAnsi="Tahoma" w:cs="Tahoma"/>
          <w:i/>
          <w:sz w:val="18"/>
          <w:szCs w:val="18"/>
        </w:rPr>
        <w:t xml:space="preserve">) </w:t>
      </w:r>
    </w:p>
    <w:p w:rsidR="002A1EB5" w:rsidRDefault="00E34A24" w:rsidP="00AD53D5">
      <w:pPr>
        <w:ind w:left="720" w:firstLine="720"/>
        <w:rPr>
          <w:rFonts w:ascii="Tahoma" w:hAnsi="Tahoma" w:cs="Tahoma"/>
          <w:i/>
          <w:sz w:val="18"/>
          <w:szCs w:val="18"/>
        </w:rPr>
      </w:pPr>
      <w:hyperlink r:id="rId15" w:history="1">
        <w:r w:rsidR="002A1EB5" w:rsidRPr="00EF2961">
          <w:rPr>
            <w:rStyle w:val="Hyperlink"/>
            <w:rFonts w:ascii="Tahoma" w:hAnsi="Tahoma" w:cs="Tahoma"/>
            <w:i/>
            <w:sz w:val="18"/>
            <w:szCs w:val="18"/>
          </w:rPr>
          <w:t>http://dch.georgia.gov/sites/dch.georgia.gov/files/42578_Active.pdf</w:t>
        </w:r>
      </w:hyperlink>
      <w:r w:rsidR="002A1EB5">
        <w:rPr>
          <w:rFonts w:ascii="Tahoma" w:hAnsi="Tahoma" w:cs="Tahoma"/>
          <w:i/>
          <w:sz w:val="18"/>
          <w:szCs w:val="18"/>
        </w:rPr>
        <w:t xml:space="preserve"> </w:t>
      </w:r>
    </w:p>
    <w:p w:rsidR="000C179E" w:rsidRDefault="000C179E" w:rsidP="005832DD">
      <w:pPr>
        <w:pStyle w:val="NoSpacing"/>
      </w:pPr>
      <w:bookmarkStart w:id="0" w:name="_GoBack"/>
      <w:r>
        <w:rPr>
          <w:b/>
          <w:color w:val="0070C0"/>
        </w:rPr>
        <w:t>201</w:t>
      </w:r>
      <w:bookmarkEnd w:id="0"/>
      <w:r w:rsidR="006C29A0">
        <w:rPr>
          <w:b/>
          <w:color w:val="0070C0"/>
        </w:rPr>
        <w:t>6</w:t>
      </w:r>
      <w:r>
        <w:rPr>
          <w:b/>
          <w:color w:val="0070C0"/>
        </w:rPr>
        <w:t xml:space="preserve"> Health Plan Options </w:t>
      </w:r>
    </w:p>
    <w:p w:rsidR="005832DD" w:rsidRPr="005832DD" w:rsidRDefault="005832DD" w:rsidP="005832DD">
      <w:pPr>
        <w:pStyle w:val="NoSpacing"/>
      </w:pPr>
    </w:p>
    <w:p w:rsidR="000C179E" w:rsidRPr="000C179E" w:rsidRDefault="000C179E" w:rsidP="000C179E">
      <w:pPr>
        <w:rPr>
          <w:rFonts w:ascii="Tahoma" w:hAnsi="Tahoma" w:cs="Tahoma"/>
          <w:bCs/>
          <w:sz w:val="18"/>
          <w:szCs w:val="18"/>
        </w:rPr>
      </w:pPr>
      <w:r w:rsidRPr="000C179E">
        <w:rPr>
          <w:rFonts w:ascii="Tahoma" w:hAnsi="Tahoma" w:cs="Tahoma"/>
          <w:bCs/>
          <w:sz w:val="18"/>
          <w:szCs w:val="18"/>
        </w:rPr>
        <w:t xml:space="preserve">Health Reimbursement Arrangement (HRA) </w:t>
      </w:r>
    </w:p>
    <w:p w:rsidR="000C179E" w:rsidRPr="000C179E" w:rsidRDefault="000C179E" w:rsidP="000C179E">
      <w:pPr>
        <w:pStyle w:val="NoSpacing"/>
        <w:rPr>
          <w:rFonts w:ascii="Tahoma" w:hAnsi="Tahoma" w:cs="Tahoma"/>
          <w:bCs/>
          <w:sz w:val="18"/>
          <w:szCs w:val="18"/>
        </w:rPr>
      </w:pPr>
      <w:r w:rsidRPr="000C179E">
        <w:rPr>
          <w:rFonts w:ascii="Tahoma" w:hAnsi="Tahoma" w:cs="Tahoma"/>
          <w:bCs/>
          <w:sz w:val="18"/>
          <w:szCs w:val="18"/>
        </w:rPr>
        <w:t>High Deductible Health Plan (HDHP)</w:t>
      </w:r>
    </w:p>
    <w:p w:rsidR="000C179E" w:rsidRPr="000C179E" w:rsidRDefault="000C179E" w:rsidP="000C179E">
      <w:pPr>
        <w:pStyle w:val="NoSpacing"/>
      </w:pPr>
    </w:p>
    <w:p w:rsidR="000C179E" w:rsidRP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0C179E">
        <w:rPr>
          <w:rFonts w:ascii="Tahoma" w:hAnsi="Tahoma" w:cs="Tahoma"/>
          <w:bCs/>
          <w:sz w:val="18"/>
          <w:szCs w:val="18"/>
        </w:rPr>
        <w:t xml:space="preserve">Health Maintenance Organization (HMO) </w:t>
      </w:r>
    </w:p>
    <w:p w:rsidR="000C179E" w:rsidRP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:rsid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0C179E">
        <w:rPr>
          <w:rFonts w:ascii="Tahoma" w:hAnsi="Tahoma" w:cs="Tahoma"/>
          <w:bCs/>
          <w:sz w:val="18"/>
          <w:szCs w:val="18"/>
        </w:rPr>
        <w:t xml:space="preserve">Regional Health Maintenance Organization (HMO) by Kaiser Permanente (KP) </w:t>
      </w:r>
    </w:p>
    <w:p w:rsidR="005832DD" w:rsidRDefault="005832DD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:rsidR="005832DD" w:rsidRPr="000C179E" w:rsidRDefault="005832DD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:rsidR="005832DD" w:rsidRPr="004037DE" w:rsidRDefault="005832DD" w:rsidP="005832DD">
      <w:pPr>
        <w:rPr>
          <w:rFonts w:ascii="Tahoma" w:hAnsi="Tahoma" w:cs="Tahoma"/>
          <w:sz w:val="18"/>
          <w:szCs w:val="18"/>
        </w:rPr>
      </w:pPr>
      <w:r w:rsidRPr="005B26B2">
        <w:rPr>
          <w:rFonts w:ascii="Tahoma" w:hAnsi="Tahoma" w:cs="Tahoma"/>
          <w:b/>
          <w:sz w:val="18"/>
          <w:szCs w:val="18"/>
        </w:rPr>
        <w:t>Coverage tiers are</w:t>
      </w:r>
      <w:r>
        <w:rPr>
          <w:rFonts w:ascii="Tahoma" w:hAnsi="Tahoma" w:cs="Tahoma"/>
          <w:sz w:val="18"/>
          <w:szCs w:val="18"/>
        </w:rPr>
        <w:t>:</w:t>
      </w:r>
    </w:p>
    <w:p w:rsidR="005832DD" w:rsidRPr="004037DE" w:rsidRDefault="005832DD" w:rsidP="005832DD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>Employee Only</w:t>
      </w:r>
    </w:p>
    <w:p w:rsidR="005832DD" w:rsidRPr="004037DE" w:rsidRDefault="005832DD" w:rsidP="005832DD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 + </w:t>
      </w:r>
      <w:proofErr w:type="gramStart"/>
      <w:r w:rsidRPr="004037DE">
        <w:rPr>
          <w:rFonts w:ascii="Tahoma" w:hAnsi="Tahoma" w:cs="Tahoma"/>
          <w:sz w:val="18"/>
          <w:szCs w:val="18"/>
        </w:rPr>
        <w:t>Child(</w:t>
      </w:r>
      <w:proofErr w:type="spellStart"/>
      <w:proofErr w:type="gramEnd"/>
      <w:r w:rsidRPr="004037DE">
        <w:rPr>
          <w:rFonts w:ascii="Tahoma" w:hAnsi="Tahoma" w:cs="Tahoma"/>
          <w:sz w:val="18"/>
          <w:szCs w:val="18"/>
        </w:rPr>
        <w:t>ren</w:t>
      </w:r>
      <w:proofErr w:type="spellEnd"/>
      <w:r w:rsidRPr="004037DE">
        <w:rPr>
          <w:rFonts w:ascii="Tahoma" w:hAnsi="Tahoma" w:cs="Tahoma"/>
          <w:sz w:val="18"/>
          <w:szCs w:val="18"/>
        </w:rPr>
        <w:t>)</w:t>
      </w:r>
    </w:p>
    <w:p w:rsidR="005832DD" w:rsidRPr="004037DE" w:rsidRDefault="005832DD" w:rsidP="005832DD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>Employee + Spouse</w:t>
      </w:r>
    </w:p>
    <w:p w:rsidR="00F92CB5" w:rsidRPr="00F92CB5" w:rsidRDefault="00006A46" w:rsidP="00006A4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7CB4D0"/>
          <w:sz w:val="20"/>
          <w:szCs w:val="20"/>
          <w:u w:val="single"/>
        </w:rPr>
      </w:pPr>
      <w:r>
        <w:rPr>
          <w:rFonts w:ascii="Arial" w:hAnsi="Arial" w:cs="Arial"/>
          <w:noProof/>
          <w:color w:val="0077BB"/>
          <w:sz w:val="19"/>
          <w:szCs w:val="19"/>
        </w:rPr>
        <w:t xml:space="preserve"> </w:t>
      </w:r>
    </w:p>
    <w:p w:rsidR="009B7DF6" w:rsidRPr="00DC1F7C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DC1F7C">
        <w:rPr>
          <w:rFonts w:ascii="Tahoma" w:hAnsi="Tahoma" w:cs="Tahoma"/>
          <w:b/>
          <w:bCs/>
          <w:color w:val="002060"/>
          <w:sz w:val="20"/>
          <w:szCs w:val="20"/>
        </w:rPr>
        <w:t xml:space="preserve">Blue Cross Blue Shield of Georgia 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• Health Reimbursement Arrangement (HRA)</w:t>
      </w:r>
      <w:r w:rsidR="00A52FD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B26B2">
        <w:rPr>
          <w:rFonts w:ascii="Tahoma" w:hAnsi="Tahoma" w:cs="Tahoma"/>
          <w:color w:val="000000"/>
          <w:sz w:val="20"/>
          <w:szCs w:val="20"/>
        </w:rPr>
        <w:t>without co-payments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- Gold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- Silver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- Bronze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• Statewide Health Maintenance Organization</w:t>
      </w:r>
      <w:r w:rsidR="00DC1F7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B26B2">
        <w:rPr>
          <w:rFonts w:ascii="Tahoma" w:hAnsi="Tahoma" w:cs="Tahoma"/>
          <w:color w:val="000000"/>
          <w:sz w:val="20"/>
          <w:szCs w:val="20"/>
        </w:rPr>
        <w:t>(HMO)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92CB5" w:rsidRDefault="00F92CB5" w:rsidP="00F92CB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7CB4D0"/>
          <w:sz w:val="20"/>
          <w:szCs w:val="20"/>
        </w:rPr>
      </w:pPr>
    </w:p>
    <w:p w:rsidR="009B7DF6" w:rsidRPr="00DC1F7C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DC1F7C">
        <w:rPr>
          <w:rFonts w:ascii="Tahoma" w:hAnsi="Tahoma" w:cs="Tahoma"/>
          <w:b/>
          <w:bCs/>
          <w:color w:val="002060"/>
          <w:sz w:val="20"/>
          <w:szCs w:val="20"/>
        </w:rPr>
        <w:t>United</w:t>
      </w:r>
      <w:r w:rsidR="00BC0C31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Pr="00DC1F7C">
        <w:rPr>
          <w:rFonts w:ascii="Tahoma" w:hAnsi="Tahoma" w:cs="Tahoma"/>
          <w:b/>
          <w:bCs/>
          <w:color w:val="002060"/>
          <w:sz w:val="20"/>
          <w:szCs w:val="20"/>
        </w:rPr>
        <w:t>Healthcare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• High Deductible Health Plan (HDHP)</w:t>
      </w:r>
    </w:p>
    <w:p w:rsidR="009B7DF6" w:rsidRDefault="009B7DF6" w:rsidP="009B7DF6">
      <w:pPr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• Statewide Health Maintenance Organization (HMO)</w:t>
      </w:r>
    </w:p>
    <w:p w:rsidR="00006A46" w:rsidRDefault="00006A4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</w:p>
    <w:p w:rsidR="009B7DF6" w:rsidRPr="00DC1F7C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DC1F7C">
        <w:rPr>
          <w:rFonts w:ascii="Tahoma" w:hAnsi="Tahoma" w:cs="Tahoma"/>
          <w:b/>
          <w:bCs/>
          <w:color w:val="002060"/>
          <w:sz w:val="20"/>
          <w:szCs w:val="20"/>
        </w:rPr>
        <w:t>Kaiser Permanente (KP)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B26B2">
        <w:rPr>
          <w:rFonts w:ascii="Tahoma" w:hAnsi="Tahoma" w:cs="Tahoma"/>
          <w:color w:val="000000"/>
          <w:sz w:val="20"/>
          <w:szCs w:val="20"/>
        </w:rPr>
        <w:t>The KP Regional HMO (Metro Atlanta Service</w:t>
      </w:r>
      <w:r w:rsidR="00A52FD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B26B2">
        <w:rPr>
          <w:rFonts w:ascii="Tahoma" w:hAnsi="Tahoma" w:cs="Tahoma"/>
          <w:color w:val="000000"/>
          <w:sz w:val="20"/>
          <w:szCs w:val="20"/>
        </w:rPr>
        <w:t>Area only) offers medical, wellness and pharmacy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5B26B2">
        <w:rPr>
          <w:rFonts w:ascii="Tahoma" w:hAnsi="Tahoma" w:cs="Tahoma"/>
          <w:color w:val="000000"/>
          <w:sz w:val="20"/>
          <w:szCs w:val="20"/>
        </w:rPr>
        <w:t>benefits</w:t>
      </w:r>
      <w:proofErr w:type="gramEnd"/>
      <w:r w:rsidRPr="005B26B2">
        <w:rPr>
          <w:rFonts w:ascii="Tahoma" w:hAnsi="Tahoma" w:cs="Tahoma"/>
          <w:color w:val="000000"/>
          <w:sz w:val="20"/>
          <w:szCs w:val="20"/>
        </w:rPr>
        <w:t xml:space="preserve">. You must </w:t>
      </w:r>
      <w:r w:rsidRPr="005B26B2">
        <w:rPr>
          <w:rFonts w:ascii="Tahoma" w:hAnsi="Tahoma" w:cs="Tahoma"/>
          <w:b/>
          <w:bCs/>
          <w:color w:val="000000"/>
          <w:sz w:val="20"/>
          <w:szCs w:val="20"/>
        </w:rPr>
        <w:t xml:space="preserve">live or work </w:t>
      </w:r>
      <w:r w:rsidRPr="005B26B2">
        <w:rPr>
          <w:rFonts w:ascii="Tahoma" w:hAnsi="Tahoma" w:cs="Tahoma"/>
          <w:color w:val="000000"/>
          <w:sz w:val="20"/>
          <w:szCs w:val="20"/>
        </w:rPr>
        <w:t>in one of the below</w:t>
      </w:r>
      <w:r w:rsidR="00A52FD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B26B2">
        <w:rPr>
          <w:rFonts w:ascii="Tahoma" w:hAnsi="Tahoma" w:cs="Tahoma"/>
          <w:color w:val="000000"/>
          <w:sz w:val="20"/>
          <w:szCs w:val="20"/>
        </w:rPr>
        <w:t>27 counties within the Metro Atlanta Service Area to</w:t>
      </w:r>
    </w:p>
    <w:p w:rsidR="009B7DF6" w:rsidRPr="005B26B2" w:rsidRDefault="004B5C9B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 w:rsidR="009B7DF6" w:rsidRPr="005B26B2">
        <w:rPr>
          <w:rFonts w:ascii="Tahoma" w:hAnsi="Tahoma" w:cs="Tahoma"/>
          <w:color w:val="000000"/>
          <w:sz w:val="20"/>
          <w:szCs w:val="20"/>
        </w:rPr>
        <w:t>eligible to enroll in KP:</w:t>
      </w:r>
    </w:p>
    <w:p w:rsidR="009B7DF6" w:rsidRPr="005B26B2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B7DF6" w:rsidRPr="0053795D" w:rsidRDefault="009B7DF6" w:rsidP="009B7D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0000"/>
          <w:sz w:val="20"/>
          <w:szCs w:val="20"/>
        </w:rPr>
      </w:pPr>
      <w:r w:rsidRPr="0053795D">
        <w:rPr>
          <w:rFonts w:ascii="Tahoma" w:hAnsi="Tahoma" w:cs="Tahoma"/>
          <w:i/>
          <w:color w:val="000000"/>
          <w:sz w:val="20"/>
          <w:szCs w:val="20"/>
        </w:rPr>
        <w:t>Barrow Coweta Gwinnett Paulding</w:t>
      </w:r>
      <w:r w:rsidR="00163848" w:rsidRPr="0053795D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95D">
        <w:rPr>
          <w:rFonts w:ascii="Tahoma" w:hAnsi="Tahoma" w:cs="Tahoma"/>
          <w:i/>
          <w:color w:val="000000"/>
          <w:sz w:val="20"/>
          <w:szCs w:val="20"/>
        </w:rPr>
        <w:t>Bartow Dawson Haralson Pickens</w:t>
      </w:r>
      <w:r w:rsidR="00163848" w:rsidRPr="0053795D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95D">
        <w:rPr>
          <w:rFonts w:ascii="Tahoma" w:hAnsi="Tahoma" w:cs="Tahoma"/>
          <w:i/>
          <w:color w:val="000000"/>
          <w:sz w:val="20"/>
          <w:szCs w:val="20"/>
        </w:rPr>
        <w:t>Butts DeKalb Heard Pike</w:t>
      </w:r>
      <w:r w:rsidR="00163848" w:rsidRPr="0053795D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95D">
        <w:rPr>
          <w:rFonts w:ascii="Tahoma" w:hAnsi="Tahoma" w:cs="Tahoma"/>
          <w:i/>
          <w:color w:val="000000"/>
          <w:sz w:val="20"/>
          <w:szCs w:val="20"/>
        </w:rPr>
        <w:t>Carroll Douglas Henry Rockdale</w:t>
      </w:r>
      <w:r w:rsidR="00163848" w:rsidRPr="0053795D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95D">
        <w:rPr>
          <w:rFonts w:ascii="Tahoma" w:hAnsi="Tahoma" w:cs="Tahoma"/>
          <w:i/>
          <w:color w:val="000000"/>
          <w:sz w:val="20"/>
          <w:szCs w:val="20"/>
        </w:rPr>
        <w:t>Cherokee Fayette Lamar Spalding</w:t>
      </w:r>
      <w:r w:rsidR="00163848" w:rsidRPr="0053795D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95D">
        <w:rPr>
          <w:rFonts w:ascii="Tahoma" w:hAnsi="Tahoma" w:cs="Tahoma"/>
          <w:i/>
          <w:color w:val="000000"/>
          <w:sz w:val="20"/>
          <w:szCs w:val="20"/>
        </w:rPr>
        <w:t>Clayton Forsyth Meriwether Walton</w:t>
      </w:r>
    </w:p>
    <w:p w:rsidR="009B7DF6" w:rsidRDefault="009B7DF6" w:rsidP="009B7DF6">
      <w:pPr>
        <w:rPr>
          <w:rFonts w:ascii="Tahoma" w:hAnsi="Tahoma" w:cs="Tahoma"/>
          <w:i/>
          <w:color w:val="000000"/>
          <w:sz w:val="20"/>
          <w:szCs w:val="20"/>
        </w:rPr>
      </w:pPr>
      <w:r w:rsidRPr="0053795D">
        <w:rPr>
          <w:rFonts w:ascii="Tahoma" w:hAnsi="Tahoma" w:cs="Tahoma"/>
          <w:i/>
          <w:color w:val="000000"/>
          <w:sz w:val="20"/>
          <w:szCs w:val="20"/>
        </w:rPr>
        <w:lastRenderedPageBreak/>
        <w:t>Cobb Fulton Newton</w:t>
      </w:r>
    </w:p>
    <w:p w:rsidR="00A657FA" w:rsidRDefault="00A657FA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 xml:space="preserve">Employee + Spouse &amp; </w:t>
      </w:r>
      <w:proofErr w:type="gramStart"/>
      <w:r w:rsidRPr="004037DE">
        <w:rPr>
          <w:rFonts w:ascii="Tahoma" w:hAnsi="Tahoma" w:cs="Tahoma"/>
          <w:sz w:val="18"/>
          <w:szCs w:val="18"/>
        </w:rPr>
        <w:t>Child(</w:t>
      </w:r>
      <w:proofErr w:type="spellStart"/>
      <w:proofErr w:type="gramEnd"/>
      <w:r w:rsidRPr="004037DE">
        <w:rPr>
          <w:rFonts w:ascii="Tahoma" w:hAnsi="Tahoma" w:cs="Tahoma"/>
          <w:sz w:val="18"/>
          <w:szCs w:val="18"/>
        </w:rPr>
        <w:t>ren</w:t>
      </w:r>
      <w:proofErr w:type="spellEnd"/>
      <w:r w:rsidRPr="004037DE">
        <w:rPr>
          <w:rFonts w:ascii="Tahoma" w:hAnsi="Tahoma" w:cs="Tahoma"/>
          <w:sz w:val="18"/>
          <w:szCs w:val="18"/>
        </w:rPr>
        <w:t xml:space="preserve">) </w:t>
      </w:r>
    </w:p>
    <w:p w:rsidR="000C179E" w:rsidRDefault="000C179E">
      <w:pPr>
        <w:rPr>
          <w:rFonts w:ascii="Tahoma" w:hAnsi="Tahoma" w:cs="Tahoma"/>
          <w:sz w:val="18"/>
          <w:szCs w:val="18"/>
        </w:rPr>
      </w:pPr>
    </w:p>
    <w:p w:rsidR="00A657FA" w:rsidRDefault="00A657FA">
      <w:pPr>
        <w:rPr>
          <w:rFonts w:ascii="Tahoma" w:hAnsi="Tahoma" w:cs="Tahoma"/>
          <w:sz w:val="18"/>
          <w:szCs w:val="18"/>
        </w:rPr>
      </w:pPr>
      <w:r w:rsidRPr="004037DE">
        <w:rPr>
          <w:rFonts w:ascii="Tahoma" w:hAnsi="Tahoma" w:cs="Tahoma"/>
          <w:sz w:val="18"/>
          <w:szCs w:val="18"/>
        </w:rPr>
        <w:t>75% of your health coverage is subsidized by the State.  The other 25% is paid by the employee through payroll deduction on the 15</w:t>
      </w:r>
      <w:r w:rsidRPr="004037DE">
        <w:rPr>
          <w:rFonts w:ascii="Tahoma" w:hAnsi="Tahoma" w:cs="Tahoma"/>
          <w:sz w:val="18"/>
          <w:szCs w:val="18"/>
          <w:vertAlign w:val="superscript"/>
        </w:rPr>
        <w:t>th</w:t>
      </w:r>
      <w:r w:rsidRPr="004037DE">
        <w:rPr>
          <w:rFonts w:ascii="Tahoma" w:hAnsi="Tahoma" w:cs="Tahoma"/>
          <w:sz w:val="18"/>
          <w:szCs w:val="18"/>
        </w:rPr>
        <w:t xml:space="preserve"> of each month.  Pricing per plan and coverage tier varies and is accessible on the </w:t>
      </w:r>
      <w:r w:rsidRPr="00AA7B9D">
        <w:rPr>
          <w:rFonts w:ascii="Tahoma" w:hAnsi="Tahoma" w:cs="Tahoma"/>
          <w:b/>
          <w:color w:val="0070C0"/>
          <w:sz w:val="18"/>
          <w:szCs w:val="18"/>
        </w:rPr>
        <w:t>Health Insurance Rate Chart</w:t>
      </w:r>
      <w:r w:rsidRPr="004037DE">
        <w:rPr>
          <w:rFonts w:ascii="Tahoma" w:hAnsi="Tahoma" w:cs="Tahoma"/>
          <w:b/>
          <w:color w:val="1F497D" w:themeColor="text2"/>
          <w:sz w:val="18"/>
          <w:szCs w:val="18"/>
        </w:rPr>
        <w:t xml:space="preserve">.  </w:t>
      </w:r>
      <w:r w:rsidRPr="004037DE">
        <w:rPr>
          <w:rFonts w:ascii="Tahoma" w:hAnsi="Tahoma" w:cs="Tahoma"/>
          <w:sz w:val="18"/>
          <w:szCs w:val="18"/>
        </w:rPr>
        <w:t xml:space="preserve">(Please note there is </w:t>
      </w:r>
      <w:proofErr w:type="gramStart"/>
      <w:r w:rsidRPr="004037DE">
        <w:rPr>
          <w:rFonts w:ascii="Tahoma" w:hAnsi="Tahoma" w:cs="Tahoma"/>
          <w:sz w:val="18"/>
          <w:szCs w:val="18"/>
        </w:rPr>
        <w:t>a</w:t>
      </w:r>
      <w:proofErr w:type="gramEnd"/>
      <w:r w:rsidRPr="004037DE">
        <w:rPr>
          <w:rFonts w:ascii="Tahoma" w:hAnsi="Tahoma" w:cs="Tahoma"/>
          <w:sz w:val="18"/>
          <w:szCs w:val="18"/>
        </w:rPr>
        <w:t xml:space="preserve"> $80 per month tobacco surcharge applicable if you or a covered dependent uses or has used tobacco products within the past 12 months of enrollment</w:t>
      </w:r>
      <w:r w:rsidR="004037DE" w:rsidRPr="004037DE">
        <w:rPr>
          <w:rFonts w:ascii="Tahoma" w:hAnsi="Tahoma" w:cs="Tahoma"/>
          <w:sz w:val="18"/>
          <w:szCs w:val="18"/>
        </w:rPr>
        <w:t>)</w:t>
      </w:r>
      <w:r w:rsidRPr="004037DE">
        <w:rPr>
          <w:rFonts w:ascii="Tahoma" w:hAnsi="Tahoma" w:cs="Tahoma"/>
          <w:sz w:val="18"/>
          <w:szCs w:val="18"/>
        </w:rPr>
        <w:t>.</w:t>
      </w:r>
    </w:p>
    <w:p w:rsidR="009E2D34" w:rsidRDefault="009E2D34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</w:t>
      </w:r>
      <w:r w:rsidRPr="009E2D34">
        <w:rPr>
          <w:rFonts w:ascii="Tahoma" w:hAnsi="Tahoma" w:cs="Tahoma"/>
          <w:i/>
          <w:sz w:val="18"/>
          <w:szCs w:val="18"/>
        </w:rPr>
        <w:t>(Link to pdf document titled 201</w:t>
      </w:r>
      <w:r w:rsidR="006C29A0">
        <w:rPr>
          <w:rFonts w:ascii="Tahoma" w:hAnsi="Tahoma" w:cs="Tahoma"/>
          <w:i/>
          <w:sz w:val="18"/>
          <w:szCs w:val="18"/>
        </w:rPr>
        <w:t>6</w:t>
      </w:r>
      <w:r w:rsidR="00356A58">
        <w:rPr>
          <w:rFonts w:ascii="Tahoma" w:hAnsi="Tahoma" w:cs="Tahoma"/>
          <w:i/>
          <w:sz w:val="18"/>
          <w:szCs w:val="18"/>
        </w:rPr>
        <w:t xml:space="preserve"> Health Insurance Rates</w:t>
      </w:r>
      <w:r w:rsidRPr="009E2D34">
        <w:rPr>
          <w:rFonts w:ascii="Tahoma" w:hAnsi="Tahoma" w:cs="Tahoma"/>
          <w:i/>
          <w:sz w:val="18"/>
          <w:szCs w:val="18"/>
        </w:rPr>
        <w:t>)</w:t>
      </w:r>
    </w:p>
    <w:p w:rsidR="00F92CB5" w:rsidRDefault="00E34A24" w:rsidP="0099421A">
      <w:pPr>
        <w:ind w:firstLine="720"/>
        <w:rPr>
          <w:rFonts w:ascii="Tahoma" w:hAnsi="Tahoma" w:cs="Tahoma"/>
          <w:sz w:val="18"/>
          <w:szCs w:val="18"/>
          <w:lang w:val="en"/>
        </w:rPr>
      </w:pPr>
      <w:hyperlink r:id="rId16" w:history="1">
        <w:r w:rsidR="0099421A" w:rsidRPr="00EF2961">
          <w:rPr>
            <w:rStyle w:val="Hyperlink"/>
          </w:rPr>
          <w:t>http://dch.georgia.gov/sites/dch.georgia.gov/files/2015%20Rates_Active_Commercial.pdf</w:t>
        </w:r>
      </w:hyperlink>
      <w:r w:rsidR="0099421A">
        <w:t xml:space="preserve"> </w:t>
      </w:r>
    </w:p>
    <w:p w:rsid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  <w:r w:rsidRPr="000C179E">
        <w:rPr>
          <w:rFonts w:ascii="Tahoma" w:hAnsi="Tahoma" w:cs="Tahoma"/>
          <w:b/>
          <w:bCs/>
          <w:color w:val="7CB4D0"/>
          <w:sz w:val="18"/>
          <w:szCs w:val="18"/>
        </w:rPr>
        <w:t>Health Reimbursement</w:t>
      </w:r>
      <w:r>
        <w:rPr>
          <w:rFonts w:ascii="Tahoma" w:hAnsi="Tahoma" w:cs="Tahoma"/>
          <w:b/>
          <w:bCs/>
          <w:color w:val="7CB4D0"/>
          <w:sz w:val="18"/>
          <w:szCs w:val="18"/>
        </w:rPr>
        <w:t xml:space="preserve"> </w:t>
      </w:r>
      <w:r w:rsidRPr="000C179E">
        <w:rPr>
          <w:rFonts w:ascii="Tahoma" w:hAnsi="Tahoma" w:cs="Tahoma"/>
          <w:b/>
          <w:bCs/>
          <w:color w:val="7CB4D0"/>
          <w:sz w:val="18"/>
          <w:szCs w:val="18"/>
        </w:rPr>
        <w:t xml:space="preserve">Arrangement (HRA) </w:t>
      </w:r>
    </w:p>
    <w:p w:rsidR="000C179E" w:rsidRP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C179E">
        <w:rPr>
          <w:rFonts w:ascii="Tahoma" w:hAnsi="Tahoma" w:cs="Tahoma"/>
          <w:color w:val="000000"/>
          <w:sz w:val="18"/>
          <w:szCs w:val="18"/>
        </w:rPr>
        <w:t>The HRA is a Consumer-Driven Health Plan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Option (CDHP) that includes a State Health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Benefit Plan (SHBP)-funded HRA account that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provides first-dollar coverage for eligible medical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and pharmacy expenses. The HRA Plan Options</w:t>
      </w:r>
    </w:p>
    <w:p w:rsidR="000C179E" w:rsidRP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C179E">
        <w:rPr>
          <w:rFonts w:ascii="Tahoma" w:hAnsi="Tahoma" w:cs="Tahoma"/>
          <w:color w:val="000000"/>
          <w:sz w:val="18"/>
          <w:szCs w:val="18"/>
        </w:rPr>
        <w:t>offer</w:t>
      </w:r>
      <w:proofErr w:type="gramEnd"/>
      <w:r w:rsidRPr="000C179E">
        <w:rPr>
          <w:rFonts w:ascii="Tahoma" w:hAnsi="Tahoma" w:cs="Tahoma"/>
          <w:color w:val="000000"/>
          <w:sz w:val="18"/>
          <w:szCs w:val="18"/>
        </w:rPr>
        <w:t xml:space="preserve"> access to a statewide and national network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of providers across the United States.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It is important to note that when you go to the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doctor, you do not pay a co-payment. Instead, you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pay the applicable deductible and</w:t>
      </w:r>
    </w:p>
    <w:p w:rsidR="000C179E" w:rsidRP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C179E">
        <w:rPr>
          <w:rFonts w:ascii="Tahoma" w:hAnsi="Tahoma" w:cs="Tahoma"/>
          <w:color w:val="000000"/>
          <w:sz w:val="18"/>
          <w:szCs w:val="18"/>
        </w:rPr>
        <w:t>co-insurance</w:t>
      </w:r>
      <w:proofErr w:type="gramEnd"/>
      <w:r w:rsidRPr="000C179E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SHBP contributes HRA credits to your HRA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account based on the HRA Plan Option and Tier</w:t>
      </w:r>
    </w:p>
    <w:p w:rsidR="000C179E" w:rsidRPr="000C179E" w:rsidRDefault="000C179E" w:rsidP="000C17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  <w:proofErr w:type="gramStart"/>
      <w:r w:rsidRPr="000C179E">
        <w:rPr>
          <w:rFonts w:ascii="Tahoma" w:hAnsi="Tahoma" w:cs="Tahoma"/>
          <w:color w:val="000000"/>
          <w:sz w:val="18"/>
          <w:szCs w:val="18"/>
        </w:rPr>
        <w:t>you</w:t>
      </w:r>
      <w:proofErr w:type="gramEnd"/>
      <w:r w:rsidRPr="000C179E">
        <w:rPr>
          <w:rFonts w:ascii="Tahoma" w:hAnsi="Tahoma" w:cs="Tahoma"/>
          <w:color w:val="000000"/>
          <w:sz w:val="18"/>
          <w:szCs w:val="18"/>
        </w:rPr>
        <w:t xml:space="preserve"> enroll in. If you have remaining credits in your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HRA account, those credits roll over to the next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C179E">
        <w:rPr>
          <w:rFonts w:ascii="Tahoma" w:hAnsi="Tahoma" w:cs="Tahoma"/>
          <w:color w:val="000000"/>
          <w:sz w:val="18"/>
          <w:szCs w:val="18"/>
        </w:rPr>
        <w:t>Plan Year as long as you remain enrolled in</w:t>
      </w:r>
      <w:r>
        <w:rPr>
          <w:rFonts w:ascii="Tahoma" w:hAnsi="Tahoma" w:cs="Tahoma"/>
          <w:color w:val="000000"/>
          <w:sz w:val="18"/>
          <w:szCs w:val="18"/>
        </w:rPr>
        <w:t xml:space="preserve"> an HRA option</w:t>
      </w:r>
    </w:p>
    <w:p w:rsidR="000C179E" w:rsidRDefault="000C179E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</w:p>
    <w:p w:rsidR="00DC5747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  <w:r w:rsidRPr="00DC1F7C">
        <w:rPr>
          <w:rFonts w:ascii="Tahoma" w:hAnsi="Tahoma" w:cs="Tahoma"/>
          <w:b/>
          <w:bCs/>
          <w:color w:val="7CB4D0"/>
          <w:sz w:val="18"/>
          <w:szCs w:val="18"/>
        </w:rPr>
        <w:t>High Deductible</w:t>
      </w:r>
      <w:r>
        <w:rPr>
          <w:rFonts w:ascii="Tahoma" w:hAnsi="Tahoma" w:cs="Tahoma"/>
          <w:b/>
          <w:bCs/>
          <w:color w:val="7CB4D0"/>
          <w:sz w:val="18"/>
          <w:szCs w:val="18"/>
        </w:rPr>
        <w:t xml:space="preserve"> </w:t>
      </w:r>
      <w:r w:rsidRPr="00DC1F7C">
        <w:rPr>
          <w:rFonts w:ascii="Tahoma" w:hAnsi="Tahoma" w:cs="Tahoma"/>
          <w:b/>
          <w:bCs/>
          <w:color w:val="7CB4D0"/>
          <w:sz w:val="18"/>
          <w:szCs w:val="18"/>
        </w:rPr>
        <w:t xml:space="preserve">Health Plan (HDHP) 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The HDHP offers in-network and out-of-network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benefits and provides access to a network of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providers on a statewide and national basis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across the United States. The HDHP has a low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 xml:space="preserve">monthly premium. </w:t>
      </w:r>
      <w:r w:rsidRPr="00DC1F7C">
        <w:rPr>
          <w:rFonts w:ascii="Tahoma" w:hAnsi="Tahoma" w:cs="Tahoma"/>
          <w:b/>
          <w:bCs/>
          <w:color w:val="000000"/>
          <w:sz w:val="18"/>
          <w:szCs w:val="18"/>
        </w:rPr>
        <w:t>However</w:t>
      </w:r>
      <w:r w:rsidRPr="00DC1F7C">
        <w:rPr>
          <w:rFonts w:ascii="Tahoma" w:hAnsi="Tahoma" w:cs="Tahoma"/>
          <w:color w:val="000000"/>
          <w:sz w:val="18"/>
          <w:szCs w:val="18"/>
        </w:rPr>
        <w:t>, you must satisfy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a high deductible that applies to all covered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medical and pharmacy expenses (except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preventive care). If you have employee</w:t>
      </w:r>
      <w:r w:rsidR="004B5C9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+</w:t>
      </w:r>
      <w:r w:rsidR="004B5C9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child,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employee</w:t>
      </w:r>
      <w:r w:rsidR="004B5C9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+</w:t>
      </w:r>
      <w:r w:rsidR="004B5C9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spouse or family coverage, the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b/>
          <w:bCs/>
          <w:color w:val="000000"/>
          <w:sz w:val="18"/>
          <w:szCs w:val="18"/>
        </w:rPr>
        <w:t xml:space="preserve">ENTIRE </w:t>
      </w:r>
      <w:r w:rsidRPr="00DC1F7C">
        <w:rPr>
          <w:rFonts w:ascii="Tahoma" w:hAnsi="Tahoma" w:cs="Tahoma"/>
          <w:color w:val="000000"/>
          <w:sz w:val="18"/>
          <w:szCs w:val="18"/>
        </w:rPr>
        <w:t>family deductible MUST be met before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C1F7C">
        <w:rPr>
          <w:rFonts w:ascii="Tahoma" w:hAnsi="Tahoma" w:cs="Tahoma"/>
          <w:color w:val="000000"/>
          <w:sz w:val="18"/>
          <w:szCs w:val="18"/>
        </w:rPr>
        <w:t>benefits</w:t>
      </w:r>
      <w:proofErr w:type="gramEnd"/>
      <w:r w:rsidRPr="00DC1F7C">
        <w:rPr>
          <w:rFonts w:ascii="Tahoma" w:hAnsi="Tahoma" w:cs="Tahoma"/>
          <w:color w:val="000000"/>
          <w:sz w:val="18"/>
          <w:szCs w:val="18"/>
        </w:rPr>
        <w:t xml:space="preserve"> are payable for any family member.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 xml:space="preserve">Also, you may qualify to establish a </w:t>
      </w:r>
      <w:r w:rsidR="00DC0F97">
        <w:rPr>
          <w:rFonts w:ascii="Tahoma" w:hAnsi="Tahoma" w:cs="Tahoma"/>
          <w:color w:val="000000"/>
          <w:sz w:val="18"/>
          <w:szCs w:val="18"/>
        </w:rPr>
        <w:t>health care spending account</w:t>
      </w:r>
      <w:r w:rsidRPr="00DC1F7C">
        <w:rPr>
          <w:rFonts w:ascii="Tahoma" w:hAnsi="Tahoma" w:cs="Tahoma"/>
          <w:color w:val="000000"/>
          <w:sz w:val="18"/>
          <w:szCs w:val="18"/>
        </w:rPr>
        <w:t xml:space="preserve"> to pay for eligible health care expenses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now or in the future. HSAs typically earn interest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and may even offer investment options.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DC1F7C">
        <w:rPr>
          <w:rFonts w:ascii="Tahoma" w:hAnsi="Tahoma" w:cs="Tahoma"/>
          <w:b/>
          <w:bCs/>
          <w:color w:val="000000"/>
          <w:sz w:val="18"/>
          <w:szCs w:val="18"/>
        </w:rPr>
        <w:t>Plan Features: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You must meet separate in-network and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out-of-network deductibles and out-of-pocket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maximums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The HDHP option pays 100% of covered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services provided by in-network providers that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are properly coded as “preventive care” within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the meaning of the Affordable Care Act (ACA)</w:t>
      </w:r>
    </w:p>
    <w:p w:rsid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You pay co-insurance after meeting the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b/>
          <w:bCs/>
          <w:color w:val="000000"/>
          <w:sz w:val="18"/>
          <w:szCs w:val="18"/>
        </w:rPr>
        <w:t xml:space="preserve">ENTIRE </w:t>
      </w:r>
      <w:r w:rsidRPr="00DC1F7C">
        <w:rPr>
          <w:rFonts w:ascii="Tahoma" w:hAnsi="Tahoma" w:cs="Tahoma"/>
          <w:color w:val="000000"/>
          <w:sz w:val="18"/>
          <w:szCs w:val="18"/>
        </w:rPr>
        <w:t>deductible for all covered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medical and pharmacy expenses until the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out-of-pocket maximum is met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The medical and pharmacy out-of-pocket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maximums are combined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There are no co-payments</w:t>
      </w:r>
    </w:p>
    <w:p w:rsid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</w:p>
    <w:p w:rsidR="000C179E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  <w:r w:rsidRPr="00DC1F7C">
        <w:rPr>
          <w:rFonts w:ascii="Tahoma" w:hAnsi="Tahoma" w:cs="Tahoma"/>
          <w:b/>
          <w:bCs/>
          <w:color w:val="7CB4D0"/>
          <w:sz w:val="18"/>
          <w:szCs w:val="18"/>
        </w:rPr>
        <w:t xml:space="preserve">Health Maintenance Organization (HMO) 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An HMO allows you to receive covered medical services from in-network providers only (except for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C1F7C">
        <w:rPr>
          <w:rFonts w:ascii="Tahoma" w:hAnsi="Tahoma" w:cs="Tahoma"/>
          <w:color w:val="000000"/>
          <w:sz w:val="18"/>
          <w:szCs w:val="18"/>
        </w:rPr>
        <w:t>emergency</w:t>
      </w:r>
      <w:proofErr w:type="gramEnd"/>
      <w:r w:rsidRPr="00DC1F7C">
        <w:rPr>
          <w:rFonts w:ascii="Tahoma" w:hAnsi="Tahoma" w:cs="Tahoma"/>
          <w:color w:val="000000"/>
          <w:sz w:val="18"/>
          <w:szCs w:val="18"/>
        </w:rPr>
        <w:t xml:space="preserve"> care). You are not required to select a Primary Care Physician (PCP) with the Statewide HMO.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The HMO Plan Option pays 100% of covered services provided by in-network providers that are properly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C1F7C">
        <w:rPr>
          <w:rFonts w:ascii="Tahoma" w:hAnsi="Tahoma" w:cs="Tahoma"/>
          <w:color w:val="000000"/>
          <w:sz w:val="18"/>
          <w:szCs w:val="18"/>
        </w:rPr>
        <w:t>coded</w:t>
      </w:r>
      <w:proofErr w:type="gramEnd"/>
      <w:r w:rsidRPr="00DC1F7C">
        <w:rPr>
          <w:rFonts w:ascii="Tahoma" w:hAnsi="Tahoma" w:cs="Tahoma"/>
          <w:color w:val="000000"/>
          <w:sz w:val="18"/>
          <w:szCs w:val="18"/>
        </w:rPr>
        <w:t xml:space="preserve"> as “preventive care” within the meaning of the Affordable Care Act (ACA). Verify your provider is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C1F7C">
        <w:rPr>
          <w:rFonts w:ascii="Tahoma" w:hAnsi="Tahoma" w:cs="Tahoma"/>
          <w:color w:val="000000"/>
          <w:sz w:val="18"/>
          <w:szCs w:val="18"/>
        </w:rPr>
        <w:t>in-network</w:t>
      </w:r>
      <w:proofErr w:type="gramEnd"/>
      <w:r w:rsidRPr="00DC1F7C">
        <w:rPr>
          <w:rFonts w:ascii="Tahoma" w:hAnsi="Tahoma" w:cs="Tahoma"/>
          <w:color w:val="000000"/>
          <w:sz w:val="18"/>
          <w:szCs w:val="18"/>
        </w:rPr>
        <w:t xml:space="preserve"> before selecting an HMO Plan Option. When using in-network providers, request that they use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C1F7C">
        <w:rPr>
          <w:rFonts w:ascii="Tahoma" w:hAnsi="Tahoma" w:cs="Tahoma"/>
          <w:color w:val="000000"/>
          <w:sz w:val="18"/>
          <w:szCs w:val="18"/>
        </w:rPr>
        <w:t>or</w:t>
      </w:r>
      <w:proofErr w:type="gramEnd"/>
      <w:r w:rsidRPr="00DC1F7C">
        <w:rPr>
          <w:rFonts w:ascii="Tahoma" w:hAnsi="Tahoma" w:cs="Tahoma"/>
          <w:color w:val="000000"/>
          <w:sz w:val="18"/>
          <w:szCs w:val="18"/>
        </w:rPr>
        <w:t xml:space="preserve"> refer you to other in-network providers. The HMO offers a statewide and national network of providers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C1F7C">
        <w:rPr>
          <w:rFonts w:ascii="Tahoma" w:hAnsi="Tahoma" w:cs="Tahoma"/>
          <w:color w:val="000000"/>
          <w:sz w:val="18"/>
          <w:szCs w:val="18"/>
        </w:rPr>
        <w:t>across</w:t>
      </w:r>
      <w:proofErr w:type="gramEnd"/>
      <w:r w:rsidRPr="00DC1F7C">
        <w:rPr>
          <w:rFonts w:ascii="Tahoma" w:hAnsi="Tahoma" w:cs="Tahoma"/>
          <w:color w:val="000000"/>
          <w:sz w:val="18"/>
          <w:szCs w:val="18"/>
        </w:rPr>
        <w:t xml:space="preserve"> the United States.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DC1F7C">
        <w:rPr>
          <w:rFonts w:ascii="Tahoma" w:hAnsi="Tahoma" w:cs="Tahoma"/>
          <w:b/>
          <w:bCs/>
          <w:color w:val="000000"/>
          <w:sz w:val="18"/>
          <w:szCs w:val="18"/>
        </w:rPr>
        <w:t>Plan Features: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There are co-payments with this plan for certain services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Certain services are subject to a deductible and co-insurance (see the Comparison Benefit Chart)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You do not have to obtain a referral to see a Specialist (SPC); however we encourage you to select a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PCP to help coordinate your care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Coverage is only available when using in-network providers (except for emergency care)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Co-payments do not count toward to your deductibles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The medical and pharmacy out-of-pocket maximums are combined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• Co-payments do count toward your out-of-pocket-maximum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lastRenderedPageBreak/>
        <w:t>• Certain drug costs are waived if SHBP is primary and you participate in one of the Disease Management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Programs (DM) for diabetes, asthma, and/or coronary artery disease</w:t>
      </w:r>
    </w:p>
    <w:p w:rsidR="00DC1F7C" w:rsidRDefault="00DC1F7C" w:rsidP="00F92CB5">
      <w:pPr>
        <w:rPr>
          <w:rFonts w:ascii="Tahoma" w:hAnsi="Tahoma" w:cs="Tahoma"/>
          <w:i/>
          <w:sz w:val="12"/>
          <w:szCs w:val="12"/>
        </w:rPr>
      </w:pP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7CB4D0"/>
          <w:sz w:val="18"/>
          <w:szCs w:val="18"/>
        </w:rPr>
      </w:pPr>
      <w:r w:rsidRPr="00DC1F7C">
        <w:rPr>
          <w:rFonts w:ascii="Tahoma" w:hAnsi="Tahoma" w:cs="Tahoma"/>
          <w:b/>
          <w:bCs/>
          <w:color w:val="7CB4D0"/>
          <w:sz w:val="18"/>
          <w:szCs w:val="18"/>
        </w:rPr>
        <w:t>Regional Health Maintenance Organization</w:t>
      </w:r>
      <w:r>
        <w:rPr>
          <w:rFonts w:ascii="Tahoma" w:hAnsi="Tahoma" w:cs="Tahoma"/>
          <w:b/>
          <w:bCs/>
          <w:color w:val="7CB4D0"/>
          <w:sz w:val="18"/>
          <w:szCs w:val="18"/>
        </w:rPr>
        <w:t xml:space="preserve"> </w:t>
      </w:r>
      <w:r w:rsidRPr="00DC1F7C">
        <w:rPr>
          <w:rFonts w:ascii="Tahoma" w:hAnsi="Tahoma" w:cs="Tahoma"/>
          <w:b/>
          <w:bCs/>
          <w:color w:val="7CB4D0"/>
          <w:sz w:val="18"/>
          <w:szCs w:val="18"/>
        </w:rPr>
        <w:t xml:space="preserve">(HMO) by Kaiser Permanente (KP) </w:t>
      </w:r>
    </w:p>
    <w:p w:rsidR="00DC1F7C" w:rsidRPr="00DC1F7C" w:rsidRDefault="00DC1F7C" w:rsidP="00DC1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DC1F7C">
        <w:rPr>
          <w:rFonts w:ascii="Tahoma" w:hAnsi="Tahoma" w:cs="Tahoma"/>
          <w:color w:val="000000"/>
          <w:sz w:val="18"/>
          <w:szCs w:val="18"/>
        </w:rPr>
        <w:t>The KP Regional HMO option is available to State Health Benefit Plan (SHBP) eligible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 xml:space="preserve">employees who </w:t>
      </w:r>
      <w:r w:rsidRPr="00DC1F7C">
        <w:rPr>
          <w:rFonts w:ascii="Tahoma" w:hAnsi="Tahoma" w:cs="Tahoma"/>
          <w:b/>
          <w:bCs/>
          <w:color w:val="000000"/>
          <w:sz w:val="18"/>
          <w:szCs w:val="18"/>
        </w:rPr>
        <w:t xml:space="preserve">live or work </w:t>
      </w:r>
      <w:r w:rsidRPr="00DC1F7C">
        <w:rPr>
          <w:rFonts w:ascii="Tahoma" w:hAnsi="Tahoma" w:cs="Tahoma"/>
          <w:color w:val="000000"/>
          <w:sz w:val="18"/>
          <w:szCs w:val="18"/>
        </w:rPr>
        <w:t>in one of the listed 27 counties within the Metro Atlanta Service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Area.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You are responsible for selecting a Primary Care Physician (PCP) from a list of participating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providers. You can schedule an appointment without a referral for any specialist at a KP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medical facility.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The HMO option pays 100% of covered services provided by in-network providers that are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C1F7C">
        <w:rPr>
          <w:rFonts w:ascii="Tahoma" w:hAnsi="Tahoma" w:cs="Tahoma"/>
          <w:color w:val="000000"/>
          <w:sz w:val="18"/>
          <w:szCs w:val="18"/>
        </w:rPr>
        <w:t>properly coded as “preventive care” within the meaning of the Affordable Care Act (ACA). KP</w:t>
      </w:r>
    </w:p>
    <w:p w:rsidR="00DC1F7C" w:rsidRDefault="00DC1F7C" w:rsidP="00DC1F7C">
      <w:pPr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C1F7C">
        <w:rPr>
          <w:rFonts w:ascii="Tahoma" w:hAnsi="Tahoma" w:cs="Tahoma"/>
          <w:color w:val="000000"/>
          <w:sz w:val="18"/>
          <w:szCs w:val="18"/>
        </w:rPr>
        <w:t>administers</w:t>
      </w:r>
      <w:proofErr w:type="gramEnd"/>
      <w:r w:rsidRPr="00DC1F7C">
        <w:rPr>
          <w:rFonts w:ascii="Tahoma" w:hAnsi="Tahoma" w:cs="Tahoma"/>
          <w:color w:val="000000"/>
          <w:sz w:val="18"/>
          <w:szCs w:val="18"/>
        </w:rPr>
        <w:t xml:space="preserve"> the benefits for medical, pharmacy, and wellness.</w:t>
      </w:r>
    </w:p>
    <w:p w:rsidR="00DC1F7C" w:rsidRDefault="00DC1F7C" w:rsidP="00DC1F7C">
      <w:pPr>
        <w:rPr>
          <w:rFonts w:ascii="Tahoma" w:hAnsi="Tahoma" w:cs="Tahoma"/>
          <w:sz w:val="18"/>
          <w:szCs w:val="18"/>
          <w:lang w:val="en"/>
        </w:rPr>
      </w:pPr>
      <w:r w:rsidRPr="003140AC">
        <w:rPr>
          <w:rFonts w:ascii="Tahoma" w:hAnsi="Tahoma" w:cs="Tahoma"/>
          <w:sz w:val="18"/>
          <w:szCs w:val="18"/>
          <w:lang w:val="en"/>
        </w:rPr>
        <w:t xml:space="preserve">Detailed information on </w:t>
      </w:r>
      <w:r>
        <w:rPr>
          <w:rFonts w:ascii="Tahoma" w:hAnsi="Tahoma" w:cs="Tahoma"/>
          <w:sz w:val="18"/>
          <w:szCs w:val="18"/>
          <w:lang w:val="en"/>
        </w:rPr>
        <w:t>the benefit plans</w:t>
      </w:r>
      <w:r w:rsidRPr="003140AC">
        <w:rPr>
          <w:rFonts w:ascii="Tahoma" w:hAnsi="Tahoma" w:cs="Tahoma"/>
          <w:sz w:val="18"/>
          <w:szCs w:val="18"/>
          <w:lang w:val="en"/>
        </w:rPr>
        <w:t xml:space="preserve"> t</w:t>
      </w:r>
      <w:r>
        <w:rPr>
          <w:rFonts w:ascii="Tahoma" w:hAnsi="Tahoma" w:cs="Tahoma"/>
          <w:sz w:val="18"/>
          <w:szCs w:val="18"/>
          <w:lang w:val="en"/>
        </w:rPr>
        <w:t xml:space="preserve">hrough the State of </w:t>
      </w:r>
      <w:r w:rsidR="004B5C9B">
        <w:rPr>
          <w:rFonts w:ascii="Tahoma" w:hAnsi="Tahoma" w:cs="Tahoma"/>
          <w:sz w:val="18"/>
          <w:szCs w:val="18"/>
          <w:lang w:val="en"/>
        </w:rPr>
        <w:t xml:space="preserve">Georgia </w:t>
      </w:r>
      <w:r w:rsidR="004B5C9B" w:rsidRPr="003140AC">
        <w:rPr>
          <w:rFonts w:ascii="Tahoma" w:hAnsi="Tahoma" w:cs="Tahoma"/>
          <w:sz w:val="18"/>
          <w:szCs w:val="18"/>
          <w:lang w:val="en"/>
        </w:rPr>
        <w:t>including</w:t>
      </w:r>
      <w:r w:rsidRPr="003140AC">
        <w:rPr>
          <w:rFonts w:ascii="Tahoma" w:hAnsi="Tahoma" w:cs="Tahoma"/>
          <w:sz w:val="18"/>
          <w:szCs w:val="18"/>
          <w:lang w:val="en"/>
        </w:rPr>
        <w:t xml:space="preserve"> physician/facility directory and ph</w:t>
      </w:r>
      <w:r>
        <w:rPr>
          <w:rFonts w:ascii="Tahoma" w:hAnsi="Tahoma" w:cs="Tahoma"/>
          <w:sz w:val="18"/>
          <w:szCs w:val="18"/>
          <w:lang w:val="en"/>
        </w:rPr>
        <w:t>armacy formularies can be found:</w:t>
      </w:r>
    </w:p>
    <w:p w:rsidR="00DC1F7C" w:rsidRDefault="00DC1F7C" w:rsidP="00DC1F7C">
      <w:pPr>
        <w:rPr>
          <w:rFonts w:ascii="Tahoma" w:hAnsi="Tahoma" w:cs="Tahoma"/>
          <w:sz w:val="18"/>
          <w:szCs w:val="18"/>
          <w:lang w:val="en"/>
        </w:rPr>
      </w:pPr>
      <w:r>
        <w:rPr>
          <w:rStyle w:val="Strong"/>
          <w:rFonts w:ascii="Tahoma" w:hAnsi="Tahoma" w:cs="Tahoma"/>
          <w:color w:val="003366"/>
          <w:sz w:val="18"/>
          <w:szCs w:val="18"/>
          <w:u w:val="single"/>
          <w:lang w:val="en"/>
        </w:rPr>
        <w:t xml:space="preserve">Blue Cross Blue Shield of Georgia </w:t>
      </w:r>
      <w:r w:rsidRPr="003140AC">
        <w:rPr>
          <w:rStyle w:val="Strong"/>
          <w:rFonts w:ascii="Tahoma" w:hAnsi="Tahoma" w:cs="Tahoma"/>
          <w:color w:val="003366"/>
          <w:sz w:val="18"/>
          <w:szCs w:val="18"/>
          <w:u w:val="single"/>
          <w:lang w:val="en"/>
        </w:rPr>
        <w:t xml:space="preserve">website </w:t>
      </w:r>
      <w:r w:rsidRPr="003140AC">
        <w:rPr>
          <w:rFonts w:ascii="Tahoma" w:hAnsi="Tahoma" w:cs="Tahoma"/>
          <w:sz w:val="18"/>
          <w:szCs w:val="18"/>
          <w:lang w:val="en"/>
        </w:rPr>
        <w:t>(</w:t>
      </w:r>
      <w:hyperlink r:id="rId17" w:history="1">
        <w:r w:rsidRPr="00B80DC5">
          <w:rPr>
            <w:rStyle w:val="Hyperlink"/>
            <w:rFonts w:ascii="Tahoma" w:hAnsi="Tahoma" w:cs="Tahoma"/>
            <w:sz w:val="18"/>
            <w:szCs w:val="18"/>
            <w:lang w:val="en"/>
          </w:rPr>
          <w:t>www.bcbsga.com/shbp</w:t>
        </w:r>
      </w:hyperlink>
      <w:r w:rsidRPr="003140AC">
        <w:rPr>
          <w:rFonts w:ascii="Tahoma" w:hAnsi="Tahoma" w:cs="Tahoma"/>
          <w:sz w:val="18"/>
          <w:szCs w:val="18"/>
          <w:lang w:val="en"/>
        </w:rPr>
        <w:t>)</w:t>
      </w:r>
      <w:r>
        <w:rPr>
          <w:rFonts w:ascii="Tahoma" w:hAnsi="Tahoma" w:cs="Tahoma"/>
          <w:sz w:val="18"/>
          <w:szCs w:val="18"/>
          <w:lang w:val="en"/>
        </w:rPr>
        <w:t xml:space="preserve">; </w:t>
      </w:r>
    </w:p>
    <w:p w:rsidR="00DC1F7C" w:rsidRDefault="00DC1F7C" w:rsidP="00DC1F7C">
      <w:pPr>
        <w:rPr>
          <w:rFonts w:ascii="ArialMT" w:hAnsi="ArialMT" w:cs="ArialMT"/>
          <w:color w:val="00AEF0"/>
          <w:sz w:val="19"/>
          <w:szCs w:val="19"/>
        </w:rPr>
      </w:pPr>
      <w:r w:rsidRPr="00A74E53">
        <w:rPr>
          <w:rStyle w:val="Hyperlink"/>
          <w:rFonts w:ascii="Tahoma" w:hAnsi="Tahoma" w:cs="Tahoma"/>
          <w:b/>
          <w:color w:val="244061" w:themeColor="accent1" w:themeShade="80"/>
          <w:sz w:val="18"/>
          <w:szCs w:val="18"/>
          <w:lang w:val="en"/>
        </w:rPr>
        <w:t xml:space="preserve">United Healthcare </w:t>
      </w:r>
      <w:proofErr w:type="gramStart"/>
      <w:r w:rsidRPr="00A74E53">
        <w:rPr>
          <w:rStyle w:val="Hyperlink"/>
          <w:rFonts w:ascii="Tahoma" w:hAnsi="Tahoma" w:cs="Tahoma"/>
          <w:b/>
          <w:color w:val="244061" w:themeColor="accent1" w:themeShade="80"/>
          <w:sz w:val="18"/>
          <w:szCs w:val="18"/>
          <w:lang w:val="en"/>
        </w:rPr>
        <w:t>website</w:t>
      </w:r>
      <w:r w:rsidRPr="005B26B2">
        <w:rPr>
          <w:rStyle w:val="Hyperlink"/>
          <w:rFonts w:ascii="Tahoma" w:hAnsi="Tahoma" w:cs="Tahoma"/>
          <w:color w:val="244061" w:themeColor="accent1" w:themeShade="80"/>
          <w:sz w:val="18"/>
          <w:szCs w:val="18"/>
          <w:u w:val="none"/>
          <w:lang w:val="en"/>
        </w:rPr>
        <w:t xml:space="preserve">  </w:t>
      </w:r>
      <w:r>
        <w:rPr>
          <w:rStyle w:val="Hyperlink"/>
          <w:rFonts w:ascii="Tahoma" w:hAnsi="Tahoma" w:cs="Tahoma"/>
          <w:color w:val="244061" w:themeColor="accent1" w:themeShade="80"/>
          <w:sz w:val="18"/>
          <w:szCs w:val="18"/>
          <w:u w:val="none"/>
          <w:lang w:val="en"/>
        </w:rPr>
        <w:t>(</w:t>
      </w:r>
      <w:proofErr w:type="gramEnd"/>
      <w:hyperlink r:id="rId18" w:history="1">
        <w:r w:rsidRPr="00740AA2">
          <w:rPr>
            <w:rStyle w:val="Hyperlink"/>
            <w:rFonts w:ascii="ArialMT" w:hAnsi="ArialMT" w:cs="ArialMT"/>
            <w:sz w:val="19"/>
            <w:szCs w:val="19"/>
          </w:rPr>
          <w:t>www.welcometouhc.com/shbp</w:t>
        </w:r>
      </w:hyperlink>
      <w:r>
        <w:rPr>
          <w:rFonts w:ascii="ArialMT" w:hAnsi="ArialMT" w:cs="ArialMT"/>
          <w:color w:val="00AEF0"/>
          <w:sz w:val="19"/>
          <w:szCs w:val="19"/>
        </w:rPr>
        <w:t>);</w:t>
      </w:r>
    </w:p>
    <w:p w:rsidR="00DC1F7C" w:rsidRDefault="00E34A24" w:rsidP="00DC1F7C">
      <w:pPr>
        <w:rPr>
          <w:rFonts w:ascii="ArialMT" w:hAnsi="ArialMT" w:cs="ArialMT"/>
          <w:color w:val="00AEF0"/>
          <w:sz w:val="19"/>
          <w:szCs w:val="19"/>
        </w:rPr>
      </w:pPr>
      <w:hyperlink w:history="1">
        <w:r w:rsidR="00DC1F7C" w:rsidRPr="00A74E53">
          <w:rPr>
            <w:rStyle w:val="Hyperlink"/>
            <w:rFonts w:ascii="Tahoma" w:hAnsi="Tahoma" w:cs="Tahoma"/>
            <w:b/>
            <w:color w:val="244061" w:themeColor="accent1" w:themeShade="80"/>
            <w:sz w:val="18"/>
            <w:szCs w:val="18"/>
            <w:bdr w:val="none" w:sz="0" w:space="0" w:color="auto" w:frame="1"/>
            <w:lang w:val="en"/>
          </w:rPr>
          <w:t>Kaiser Permanente website</w:t>
        </w:r>
        <w:r w:rsidR="00DC1F7C" w:rsidRPr="00740AA2">
          <w:rPr>
            <w:rStyle w:val="Hyperlink"/>
            <w:rFonts w:ascii="Tahoma" w:hAnsi="Tahoma" w:cs="Tahoma"/>
            <w:sz w:val="18"/>
            <w:szCs w:val="18"/>
            <w:bdr w:val="none" w:sz="0" w:space="0" w:color="auto" w:frame="1"/>
            <w:lang w:val="en"/>
          </w:rPr>
          <w:t xml:space="preserve"> </w:t>
        </w:r>
      </w:hyperlink>
      <w:r w:rsidR="00DC1F7C">
        <w:rPr>
          <w:rFonts w:ascii="Tahoma" w:hAnsi="Tahoma" w:cs="Tahoma"/>
          <w:color w:val="666666"/>
          <w:sz w:val="18"/>
          <w:szCs w:val="18"/>
          <w:lang w:val="en"/>
        </w:rPr>
        <w:t xml:space="preserve"> (</w:t>
      </w:r>
      <w:hyperlink r:id="rId19" w:history="1">
        <w:r w:rsidR="00DC1F7C" w:rsidRPr="00740AA2">
          <w:rPr>
            <w:rStyle w:val="Hyperlink"/>
            <w:rFonts w:ascii="ArialMT" w:hAnsi="ArialMT" w:cs="ArialMT"/>
            <w:sz w:val="19"/>
            <w:szCs w:val="19"/>
          </w:rPr>
          <w:t>www.my.kp.org/shbp</w:t>
        </w:r>
      </w:hyperlink>
      <w:r w:rsidR="00DC1F7C">
        <w:rPr>
          <w:rFonts w:ascii="ArialMT" w:hAnsi="ArialMT" w:cs="ArialMT"/>
          <w:color w:val="00AEF0"/>
          <w:sz w:val="19"/>
          <w:szCs w:val="19"/>
        </w:rPr>
        <w:t>)</w:t>
      </w:r>
    </w:p>
    <w:p w:rsidR="00DC1F7C" w:rsidRDefault="00DC1F7C" w:rsidP="00DC1F7C">
      <w:pPr>
        <w:rPr>
          <w:rFonts w:ascii="Tahoma" w:hAnsi="Tahoma" w:cs="Tahoma"/>
          <w:color w:val="000000"/>
          <w:sz w:val="18"/>
          <w:szCs w:val="18"/>
        </w:rPr>
      </w:pPr>
    </w:p>
    <w:p w:rsidR="00DC1F7C" w:rsidRPr="00DC1F7C" w:rsidRDefault="00DC1F7C" w:rsidP="00DC1F7C">
      <w:pPr>
        <w:rPr>
          <w:rFonts w:ascii="Tahoma" w:hAnsi="Tahoma" w:cs="Tahoma"/>
          <w:i/>
          <w:sz w:val="18"/>
          <w:szCs w:val="18"/>
        </w:rPr>
      </w:pPr>
    </w:p>
    <w:sectPr w:rsidR="00DC1F7C" w:rsidRPr="00DC1F7C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9E" w:rsidRDefault="000C179E" w:rsidP="00AD53D5">
      <w:pPr>
        <w:spacing w:after="0" w:line="240" w:lineRule="auto"/>
      </w:pPr>
      <w:r>
        <w:separator/>
      </w:r>
    </w:p>
  </w:endnote>
  <w:endnote w:type="continuationSeparator" w:id="0">
    <w:p w:rsidR="000C179E" w:rsidRDefault="000C179E" w:rsidP="00AD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-Light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9E" w:rsidRDefault="000C179E" w:rsidP="00AD53D5">
      <w:pPr>
        <w:spacing w:after="0" w:line="240" w:lineRule="auto"/>
      </w:pPr>
      <w:r>
        <w:separator/>
      </w:r>
    </w:p>
  </w:footnote>
  <w:footnote w:type="continuationSeparator" w:id="0">
    <w:p w:rsidR="000C179E" w:rsidRDefault="000C179E" w:rsidP="00AD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9E" w:rsidRDefault="000C179E">
    <w:pPr>
      <w:pStyle w:val="Header"/>
      <w:jc w:val="center"/>
      <w:rPr>
        <w:color w:val="365F91" w:themeColor="accent1" w:themeShade="BF"/>
      </w:rPr>
    </w:pPr>
    <w:r>
      <w:rPr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C46DE8" wp14:editId="42B917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Group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31E81B69" id="Group 63" o:spid="_x0000_s1026" style="position:absolute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Title"/>
        <w:id w:val="79116639"/>
        <w:placeholder>
          <w:docPart w:val="0B7AB04C8F7B47FABA5DAE4935FB2E5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365F91" w:themeColor="accent1" w:themeShade="BF"/>
          </w:rPr>
          <w:t>Health Insurance Page</w:t>
        </w:r>
      </w:sdtContent>
    </w:sdt>
  </w:p>
  <w:p w:rsidR="000C179E" w:rsidRDefault="000C1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446"/>
    <w:multiLevelType w:val="hybridMultilevel"/>
    <w:tmpl w:val="19566078"/>
    <w:lvl w:ilvl="0" w:tplc="31F273A6">
      <w:start w:val="2015"/>
      <w:numFmt w:val="decimal"/>
      <w:lvlText w:val="%1"/>
      <w:lvlJc w:val="left"/>
      <w:pPr>
        <w:ind w:left="780" w:hanging="4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1908"/>
    <w:multiLevelType w:val="hybridMultilevel"/>
    <w:tmpl w:val="96EEB180"/>
    <w:lvl w:ilvl="0" w:tplc="42260BA8">
      <w:start w:val="2015"/>
      <w:numFmt w:val="decimal"/>
      <w:lvlText w:val="%1"/>
      <w:lvlJc w:val="left"/>
      <w:pPr>
        <w:ind w:left="780" w:hanging="4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E26"/>
    <w:multiLevelType w:val="hybridMultilevel"/>
    <w:tmpl w:val="4ED8221A"/>
    <w:lvl w:ilvl="0" w:tplc="EA3A6F6E">
      <w:start w:val="20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26A0A"/>
    <w:multiLevelType w:val="hybridMultilevel"/>
    <w:tmpl w:val="9D84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4C"/>
    <w:rsid w:val="00006A46"/>
    <w:rsid w:val="000176D4"/>
    <w:rsid w:val="000C179E"/>
    <w:rsid w:val="00125DFB"/>
    <w:rsid w:val="00137145"/>
    <w:rsid w:val="00163848"/>
    <w:rsid w:val="00175E2C"/>
    <w:rsid w:val="00176DDE"/>
    <w:rsid w:val="001E174C"/>
    <w:rsid w:val="002448C1"/>
    <w:rsid w:val="002A1EB5"/>
    <w:rsid w:val="002C5B3E"/>
    <w:rsid w:val="00310BC2"/>
    <w:rsid w:val="003140AC"/>
    <w:rsid w:val="00356A58"/>
    <w:rsid w:val="0038482E"/>
    <w:rsid w:val="003869D2"/>
    <w:rsid w:val="003D2066"/>
    <w:rsid w:val="004037DE"/>
    <w:rsid w:val="004B5C9B"/>
    <w:rsid w:val="004C6CFF"/>
    <w:rsid w:val="004D08C8"/>
    <w:rsid w:val="0053795D"/>
    <w:rsid w:val="005832DD"/>
    <w:rsid w:val="005B26B2"/>
    <w:rsid w:val="0065190F"/>
    <w:rsid w:val="00656FBE"/>
    <w:rsid w:val="006A5706"/>
    <w:rsid w:val="006C29A0"/>
    <w:rsid w:val="007154C5"/>
    <w:rsid w:val="00753D64"/>
    <w:rsid w:val="007B3DD8"/>
    <w:rsid w:val="007E1C13"/>
    <w:rsid w:val="008945B8"/>
    <w:rsid w:val="0099421A"/>
    <w:rsid w:val="009B7DF6"/>
    <w:rsid w:val="009E2D34"/>
    <w:rsid w:val="00A52FD5"/>
    <w:rsid w:val="00A657FA"/>
    <w:rsid w:val="00A74E53"/>
    <w:rsid w:val="00AA7B9D"/>
    <w:rsid w:val="00AD53D5"/>
    <w:rsid w:val="00BC0C31"/>
    <w:rsid w:val="00CB4909"/>
    <w:rsid w:val="00CD103A"/>
    <w:rsid w:val="00D3365B"/>
    <w:rsid w:val="00DC0F97"/>
    <w:rsid w:val="00DC1F7C"/>
    <w:rsid w:val="00DC5747"/>
    <w:rsid w:val="00DD65D0"/>
    <w:rsid w:val="00E34A24"/>
    <w:rsid w:val="00ED5684"/>
    <w:rsid w:val="00EF7F6B"/>
    <w:rsid w:val="00F92CB5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52AB9-E1FF-4D7E-904A-CD14BEA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7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D5"/>
  </w:style>
  <w:style w:type="paragraph" w:styleId="Footer">
    <w:name w:val="footer"/>
    <w:basedOn w:val="Normal"/>
    <w:link w:val="FooterChar"/>
    <w:uiPriority w:val="99"/>
    <w:unhideWhenUsed/>
    <w:rsid w:val="00AD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D5"/>
  </w:style>
  <w:style w:type="paragraph" w:styleId="BalloonText">
    <w:name w:val="Balloon Text"/>
    <w:basedOn w:val="Normal"/>
    <w:link w:val="BalloonTextChar"/>
    <w:uiPriority w:val="99"/>
    <w:semiHidden/>
    <w:unhideWhenUsed/>
    <w:rsid w:val="00AD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5D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140AC"/>
    <w:rPr>
      <w:b/>
      <w:b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0C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88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ch.georgia.gov/sites/dch.georgia.gov/files/related_files/document/2013_New_Enrollee_Decision_Guide.pdf" TargetMode="External"/><Relationship Id="rId18" Type="http://schemas.openxmlformats.org/officeDocument/2006/relationships/hyperlink" Target="http://www.welcometouhc.com/shb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bcbsga.com/sh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ch.georgia.gov/sites/dch.georgia.gov/files/2015%20Rates_Active_Commercial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y.kaiserpermanente.org/html/kaiser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ch.georgia.gov/sites/dch.georgia.gov/files/42578_Active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my.kp.org/s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c.com/" TargetMode="External"/><Relationship Id="rId14" Type="http://schemas.openxmlformats.org/officeDocument/2006/relationships/hyperlink" Target="http://dch.georgia.gov/state-health-benefit-plan-shbp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7AB04C8F7B47FABA5DAE4935FB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8F09-1F8C-4E42-BBB1-6E74DCBFC027}"/>
      </w:docPartPr>
      <w:docPartBody>
        <w:p w:rsidR="00E16E80" w:rsidRDefault="00DD771A" w:rsidP="00DD771A">
          <w:pPr>
            <w:pStyle w:val="0B7AB04C8F7B47FABA5DAE4935FB2E56"/>
          </w:pPr>
          <w:r>
            <w:rPr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-Light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A"/>
    <w:rsid w:val="00074FF0"/>
    <w:rsid w:val="00270E95"/>
    <w:rsid w:val="004262D4"/>
    <w:rsid w:val="004411CA"/>
    <w:rsid w:val="005B38BB"/>
    <w:rsid w:val="005E3AC9"/>
    <w:rsid w:val="00845056"/>
    <w:rsid w:val="00A060C2"/>
    <w:rsid w:val="00DD771A"/>
    <w:rsid w:val="00E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AB04C8F7B47FABA5DAE4935FB2E56">
    <w:name w:val="0B7AB04C8F7B47FABA5DAE4935FB2E56"/>
    <w:rsid w:val="00DD7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C180-B691-4FA0-84E8-3A74E198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Page</vt:lpstr>
    </vt:vector>
  </TitlesOfParts>
  <Company>Georgia Dept of Public Safety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Page</dc:title>
  <dc:creator>Sharon Carter</dc:creator>
  <cp:lastModifiedBy>Angie Ledford</cp:lastModifiedBy>
  <cp:revision>3</cp:revision>
  <cp:lastPrinted>2015-01-02T19:13:00Z</cp:lastPrinted>
  <dcterms:created xsi:type="dcterms:W3CDTF">2015-10-26T14:05:00Z</dcterms:created>
  <dcterms:modified xsi:type="dcterms:W3CDTF">2015-10-26T14:11:00Z</dcterms:modified>
</cp:coreProperties>
</file>