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D8F" w:rsidRDefault="00EA6D8F" w:rsidP="00EA6D8F">
      <w:pPr>
        <w:jc w:val="center"/>
        <w:rPr>
          <w:rFonts w:ascii="Tahoma" w:hAnsi="Tahoma" w:cs="Tahoma"/>
          <w:sz w:val="18"/>
          <w:szCs w:val="18"/>
        </w:rPr>
      </w:pPr>
      <w:r>
        <w:rPr>
          <w:noProof/>
        </w:rPr>
        <w:drawing>
          <wp:inline distT="0" distB="0" distL="0" distR="0" wp14:anchorId="7FF266D9" wp14:editId="11608E64">
            <wp:extent cx="4314825" cy="657225"/>
            <wp:effectExtent l="0" t="0" r="9525" b="9525"/>
            <wp:docPr id="2" name="Picture 2" descr="C:\Users\aledford\Desktop\BCBSGA_reversed.png"/>
            <wp:cNvGraphicFramePr/>
            <a:graphic xmlns:a="http://schemas.openxmlformats.org/drawingml/2006/main">
              <a:graphicData uri="http://schemas.openxmlformats.org/drawingml/2006/picture">
                <pic:pic xmlns:pic="http://schemas.openxmlformats.org/drawingml/2006/picture">
                  <pic:nvPicPr>
                    <pic:cNvPr id="1" name="Picture 1" descr="C:\Users\aledford\Desktop\BCBSGA_reversed.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657225"/>
                    </a:xfrm>
                    <a:prstGeom prst="rect">
                      <a:avLst/>
                    </a:prstGeom>
                    <a:noFill/>
                    <a:ln>
                      <a:noFill/>
                    </a:ln>
                  </pic:spPr>
                </pic:pic>
              </a:graphicData>
            </a:graphic>
          </wp:inline>
        </w:drawing>
      </w:r>
    </w:p>
    <w:p w:rsidR="00EA6D8F" w:rsidRDefault="00EA6D8F" w:rsidP="00EA6D8F">
      <w:pPr>
        <w:jc w:val="center"/>
        <w:rPr>
          <w:rFonts w:ascii="Tahoma" w:hAnsi="Tahoma" w:cs="Tahoma"/>
          <w:sz w:val="18"/>
          <w:szCs w:val="18"/>
        </w:rPr>
      </w:pPr>
      <w:r w:rsidRPr="00384B9E">
        <w:rPr>
          <w:rFonts w:ascii="Tahoma" w:hAnsi="Tahoma" w:cs="Tahoma"/>
          <w:b/>
          <w:color w:val="00B0F0"/>
          <w:sz w:val="32"/>
          <w:szCs w:val="32"/>
        </w:rPr>
        <w:t>Blue View Vision</w:t>
      </w:r>
    </w:p>
    <w:p w:rsidR="00EA6D8F" w:rsidRDefault="00EA6D8F" w:rsidP="00EA0475">
      <w:pPr>
        <w:rPr>
          <w:rFonts w:ascii="Tahoma" w:hAnsi="Tahoma" w:cs="Tahoma"/>
          <w:sz w:val="18"/>
          <w:szCs w:val="18"/>
        </w:rPr>
      </w:pPr>
    </w:p>
    <w:p w:rsidR="00C9563D" w:rsidRPr="00C9563D" w:rsidRDefault="00EA0475" w:rsidP="00EA0475">
      <w:pPr>
        <w:rPr>
          <w:rFonts w:ascii="Tahoma" w:hAnsi="Tahoma" w:cs="Tahoma"/>
          <w:sz w:val="18"/>
          <w:szCs w:val="18"/>
        </w:rPr>
      </w:pPr>
      <w:r w:rsidRPr="004037DE">
        <w:rPr>
          <w:rFonts w:ascii="Tahoma" w:hAnsi="Tahoma" w:cs="Tahoma"/>
          <w:sz w:val="18"/>
          <w:szCs w:val="18"/>
        </w:rPr>
        <w:t xml:space="preserve">Employees have </w:t>
      </w:r>
      <w:r w:rsidR="00DE507A">
        <w:rPr>
          <w:rFonts w:ascii="Tahoma" w:hAnsi="Tahoma" w:cs="Tahoma"/>
          <w:sz w:val="18"/>
          <w:szCs w:val="18"/>
        </w:rPr>
        <w:t xml:space="preserve">the </w:t>
      </w:r>
      <w:r w:rsidRPr="004037DE">
        <w:rPr>
          <w:rFonts w:ascii="Tahoma" w:hAnsi="Tahoma" w:cs="Tahoma"/>
          <w:sz w:val="18"/>
          <w:szCs w:val="18"/>
        </w:rPr>
        <w:t xml:space="preserve">option to enroll </w:t>
      </w:r>
      <w:r w:rsidR="00DE507A">
        <w:rPr>
          <w:rFonts w:ascii="Tahoma" w:hAnsi="Tahoma" w:cs="Tahoma"/>
          <w:sz w:val="18"/>
          <w:szCs w:val="18"/>
        </w:rPr>
        <w:t>in</w:t>
      </w:r>
      <w:r w:rsidRPr="004037DE">
        <w:rPr>
          <w:rFonts w:ascii="Tahoma" w:hAnsi="Tahoma" w:cs="Tahoma"/>
          <w:sz w:val="18"/>
          <w:szCs w:val="18"/>
        </w:rPr>
        <w:t xml:space="preserve"> coverage in one of </w:t>
      </w:r>
      <w:r>
        <w:rPr>
          <w:rFonts w:ascii="Tahoma" w:hAnsi="Tahoma" w:cs="Tahoma"/>
          <w:sz w:val="18"/>
          <w:szCs w:val="18"/>
        </w:rPr>
        <w:t>t</w:t>
      </w:r>
      <w:r w:rsidR="00C9563D">
        <w:rPr>
          <w:rFonts w:ascii="Tahoma" w:hAnsi="Tahoma" w:cs="Tahoma"/>
          <w:sz w:val="18"/>
          <w:szCs w:val="18"/>
        </w:rPr>
        <w:t>wo</w:t>
      </w:r>
      <w:r w:rsidRPr="004037DE">
        <w:rPr>
          <w:rFonts w:ascii="Tahoma" w:hAnsi="Tahoma" w:cs="Tahoma"/>
          <w:sz w:val="18"/>
          <w:szCs w:val="18"/>
        </w:rPr>
        <w:t xml:space="preserve"> plans</w:t>
      </w:r>
      <w:r>
        <w:rPr>
          <w:rFonts w:ascii="Tahoma" w:hAnsi="Tahoma" w:cs="Tahoma"/>
          <w:sz w:val="18"/>
          <w:szCs w:val="18"/>
        </w:rPr>
        <w:t xml:space="preserve">, </w:t>
      </w:r>
      <w:r w:rsidR="00C9563D">
        <w:rPr>
          <w:rFonts w:ascii="Tahoma" w:hAnsi="Tahoma" w:cs="Tahoma"/>
          <w:b/>
          <w:color w:val="0070C0"/>
          <w:sz w:val="18"/>
          <w:szCs w:val="18"/>
        </w:rPr>
        <w:t>Select</w:t>
      </w:r>
      <w:r>
        <w:rPr>
          <w:rFonts w:ascii="Tahoma" w:hAnsi="Tahoma" w:cs="Tahoma"/>
          <w:b/>
          <w:color w:val="0070C0"/>
          <w:sz w:val="18"/>
          <w:szCs w:val="18"/>
        </w:rPr>
        <w:t xml:space="preserve"> </w:t>
      </w:r>
      <w:r>
        <w:rPr>
          <w:rFonts w:ascii="Tahoma" w:hAnsi="Tahoma" w:cs="Tahoma"/>
          <w:sz w:val="18"/>
          <w:szCs w:val="18"/>
        </w:rPr>
        <w:t xml:space="preserve">or </w:t>
      </w:r>
      <w:r w:rsidR="00C9563D">
        <w:rPr>
          <w:rFonts w:ascii="Tahoma" w:hAnsi="Tahoma" w:cs="Tahoma"/>
          <w:b/>
          <w:color w:val="0070C0"/>
          <w:sz w:val="18"/>
          <w:szCs w:val="18"/>
        </w:rPr>
        <w:t>Select Plus</w:t>
      </w:r>
      <w:r w:rsidRPr="00AD53D5">
        <w:rPr>
          <w:rFonts w:ascii="Tahoma" w:hAnsi="Tahoma" w:cs="Tahoma"/>
          <w:color w:val="0070C0"/>
          <w:sz w:val="18"/>
          <w:szCs w:val="18"/>
        </w:rPr>
        <w:t xml:space="preserve"> </w:t>
      </w:r>
      <w:r w:rsidRPr="004037DE">
        <w:rPr>
          <w:rFonts w:ascii="Tahoma" w:hAnsi="Tahoma" w:cs="Tahoma"/>
          <w:sz w:val="18"/>
          <w:szCs w:val="18"/>
        </w:rPr>
        <w:t xml:space="preserve">with </w:t>
      </w:r>
      <w:r w:rsidR="00384B9E">
        <w:rPr>
          <w:rFonts w:ascii="Tahoma" w:hAnsi="Tahoma" w:cs="Tahoma"/>
          <w:sz w:val="18"/>
          <w:szCs w:val="18"/>
        </w:rPr>
        <w:t>Blue Cross Blue Shield</w:t>
      </w:r>
      <w:r w:rsidRPr="004037DE">
        <w:rPr>
          <w:rFonts w:ascii="Tahoma" w:hAnsi="Tahoma" w:cs="Tahoma"/>
          <w:sz w:val="18"/>
          <w:szCs w:val="18"/>
        </w:rPr>
        <w:t xml:space="preserve">.  </w:t>
      </w:r>
      <w:r w:rsidR="00C9563D">
        <w:rPr>
          <w:rFonts w:ascii="Tahoma" w:hAnsi="Tahoma" w:cs="Tahoma"/>
          <w:sz w:val="18"/>
          <w:szCs w:val="18"/>
        </w:rPr>
        <w:t xml:space="preserve">Both </w:t>
      </w:r>
      <w:r w:rsidR="00C9563D" w:rsidRPr="00C9563D">
        <w:rPr>
          <w:rFonts w:ascii="Tahoma" w:hAnsi="Tahoma" w:cs="Tahoma"/>
          <w:sz w:val="18"/>
          <w:szCs w:val="18"/>
        </w:rPr>
        <w:t>Plans offer:</w:t>
      </w:r>
    </w:p>
    <w:p w:rsidR="00C9563D" w:rsidRDefault="00C9563D" w:rsidP="00C9563D">
      <w:pPr>
        <w:autoSpaceDE w:val="0"/>
        <w:autoSpaceDN w:val="0"/>
        <w:adjustRightInd w:val="0"/>
        <w:spacing w:after="0" w:line="240" w:lineRule="auto"/>
        <w:rPr>
          <w:rFonts w:ascii="Tahoma" w:hAnsi="Tahoma" w:cs="Tahoma"/>
          <w:sz w:val="18"/>
          <w:szCs w:val="18"/>
        </w:rPr>
      </w:pPr>
      <w:r w:rsidRPr="00C9563D">
        <w:rPr>
          <w:rFonts w:ascii="Tahoma" w:hAnsi="Tahoma" w:cs="Tahoma"/>
          <w:sz w:val="18"/>
          <w:szCs w:val="18"/>
        </w:rPr>
        <w:t>• covered exams and materials;</w:t>
      </w:r>
    </w:p>
    <w:p w:rsidR="00EA6D8F" w:rsidRPr="00C9563D" w:rsidRDefault="00EA6D8F" w:rsidP="00C9563D">
      <w:pPr>
        <w:autoSpaceDE w:val="0"/>
        <w:autoSpaceDN w:val="0"/>
        <w:adjustRightInd w:val="0"/>
        <w:spacing w:after="0" w:line="240" w:lineRule="auto"/>
        <w:rPr>
          <w:rFonts w:ascii="Tahoma" w:hAnsi="Tahoma" w:cs="Tahoma"/>
          <w:sz w:val="18"/>
          <w:szCs w:val="18"/>
        </w:rPr>
      </w:pPr>
    </w:p>
    <w:p w:rsidR="00C9563D" w:rsidRDefault="00C9563D" w:rsidP="00C9563D">
      <w:pPr>
        <w:autoSpaceDE w:val="0"/>
        <w:autoSpaceDN w:val="0"/>
        <w:adjustRightInd w:val="0"/>
        <w:spacing w:after="0" w:line="240" w:lineRule="auto"/>
        <w:rPr>
          <w:rFonts w:ascii="Tahoma" w:hAnsi="Tahoma" w:cs="Tahoma"/>
          <w:sz w:val="18"/>
          <w:szCs w:val="18"/>
        </w:rPr>
      </w:pPr>
      <w:r w:rsidRPr="00C9563D">
        <w:rPr>
          <w:rFonts w:ascii="Tahoma" w:hAnsi="Tahoma" w:cs="Tahoma"/>
          <w:sz w:val="18"/>
          <w:szCs w:val="18"/>
        </w:rPr>
        <w:t>• statewide access to a network of panel</w:t>
      </w:r>
      <w:r>
        <w:rPr>
          <w:rFonts w:ascii="Tahoma" w:hAnsi="Tahoma" w:cs="Tahoma"/>
          <w:sz w:val="18"/>
          <w:szCs w:val="18"/>
        </w:rPr>
        <w:t xml:space="preserve"> </w:t>
      </w:r>
      <w:r w:rsidRPr="00C9563D">
        <w:rPr>
          <w:rFonts w:ascii="Tahoma" w:hAnsi="Tahoma" w:cs="Tahoma"/>
          <w:sz w:val="18"/>
          <w:szCs w:val="18"/>
        </w:rPr>
        <w:t>providers;</w:t>
      </w:r>
    </w:p>
    <w:p w:rsidR="00EA6D8F" w:rsidRPr="00C9563D" w:rsidRDefault="00EA6D8F" w:rsidP="00C9563D">
      <w:pPr>
        <w:autoSpaceDE w:val="0"/>
        <w:autoSpaceDN w:val="0"/>
        <w:adjustRightInd w:val="0"/>
        <w:spacing w:after="0" w:line="240" w:lineRule="auto"/>
        <w:rPr>
          <w:rFonts w:ascii="Tahoma" w:hAnsi="Tahoma" w:cs="Tahoma"/>
          <w:sz w:val="18"/>
          <w:szCs w:val="18"/>
        </w:rPr>
      </w:pPr>
    </w:p>
    <w:p w:rsidR="00C9563D" w:rsidRDefault="00C9563D" w:rsidP="00C9563D">
      <w:pPr>
        <w:autoSpaceDE w:val="0"/>
        <w:autoSpaceDN w:val="0"/>
        <w:adjustRightInd w:val="0"/>
        <w:spacing w:after="0" w:line="240" w:lineRule="auto"/>
        <w:rPr>
          <w:rFonts w:ascii="Tahoma" w:hAnsi="Tahoma" w:cs="Tahoma"/>
          <w:sz w:val="18"/>
          <w:szCs w:val="18"/>
        </w:rPr>
      </w:pPr>
      <w:r w:rsidRPr="00C9563D">
        <w:rPr>
          <w:rFonts w:ascii="Tahoma" w:hAnsi="Tahoma" w:cs="Tahoma"/>
          <w:sz w:val="18"/>
          <w:szCs w:val="18"/>
        </w:rPr>
        <w:t>• no claims to file for “in-network” benefits</w:t>
      </w:r>
    </w:p>
    <w:p w:rsidR="00EA6D8F" w:rsidRPr="00C9563D" w:rsidRDefault="00EA6D8F" w:rsidP="00C9563D">
      <w:pPr>
        <w:autoSpaceDE w:val="0"/>
        <w:autoSpaceDN w:val="0"/>
        <w:adjustRightInd w:val="0"/>
        <w:spacing w:after="0" w:line="240" w:lineRule="auto"/>
        <w:rPr>
          <w:rFonts w:ascii="Tahoma" w:hAnsi="Tahoma" w:cs="Tahoma"/>
          <w:sz w:val="18"/>
          <w:szCs w:val="18"/>
        </w:rPr>
      </w:pPr>
    </w:p>
    <w:p w:rsidR="00C9563D" w:rsidRDefault="00C9563D" w:rsidP="00C9563D">
      <w:pPr>
        <w:rPr>
          <w:rFonts w:ascii="Tahoma" w:hAnsi="Tahoma" w:cs="Tahoma"/>
          <w:sz w:val="18"/>
          <w:szCs w:val="18"/>
        </w:rPr>
      </w:pPr>
      <w:r w:rsidRPr="00C9563D">
        <w:rPr>
          <w:rFonts w:ascii="Tahoma" w:hAnsi="Tahoma" w:cs="Tahoma"/>
          <w:sz w:val="18"/>
          <w:szCs w:val="18"/>
        </w:rPr>
        <w:t>• benefits for “out-of-network” providers.</w:t>
      </w:r>
      <w:r>
        <w:rPr>
          <w:rFonts w:ascii="Tahoma" w:hAnsi="Tahoma" w:cs="Tahoma"/>
          <w:sz w:val="18"/>
          <w:szCs w:val="18"/>
        </w:rPr>
        <w:t xml:space="preserve">  </w:t>
      </w:r>
    </w:p>
    <w:p w:rsidR="00C9563D" w:rsidRPr="004037DE" w:rsidRDefault="00DE507A" w:rsidP="00C9563D">
      <w:pPr>
        <w:rPr>
          <w:rFonts w:ascii="Tahoma" w:hAnsi="Tahoma" w:cs="Tahoma"/>
          <w:sz w:val="18"/>
          <w:szCs w:val="18"/>
        </w:rPr>
      </w:pPr>
      <w:r>
        <w:rPr>
          <w:rFonts w:ascii="Tahoma" w:hAnsi="Tahoma" w:cs="Tahoma"/>
          <w:sz w:val="18"/>
          <w:szCs w:val="18"/>
        </w:rPr>
        <w:t>Coverage tiers available for</w:t>
      </w:r>
      <w:r w:rsidR="00C9563D" w:rsidRPr="004037DE">
        <w:rPr>
          <w:rFonts w:ascii="Tahoma" w:hAnsi="Tahoma" w:cs="Tahoma"/>
          <w:sz w:val="18"/>
          <w:szCs w:val="18"/>
        </w:rPr>
        <w:t xml:space="preserve"> both plans are:</w:t>
      </w:r>
    </w:p>
    <w:p w:rsidR="00C9563D" w:rsidRPr="004037DE" w:rsidRDefault="00C9563D" w:rsidP="00C9563D">
      <w:pPr>
        <w:rPr>
          <w:rFonts w:ascii="Tahoma" w:hAnsi="Tahoma" w:cs="Tahoma"/>
          <w:sz w:val="18"/>
          <w:szCs w:val="18"/>
        </w:rPr>
      </w:pPr>
      <w:r w:rsidRPr="004037DE">
        <w:rPr>
          <w:rFonts w:ascii="Tahoma" w:hAnsi="Tahoma" w:cs="Tahoma"/>
          <w:sz w:val="18"/>
          <w:szCs w:val="18"/>
        </w:rPr>
        <w:t>Employee Only</w:t>
      </w:r>
    </w:p>
    <w:p w:rsidR="00C9563D" w:rsidRPr="004037DE" w:rsidRDefault="00C9563D" w:rsidP="00C9563D">
      <w:pPr>
        <w:rPr>
          <w:rFonts w:ascii="Tahoma" w:hAnsi="Tahoma" w:cs="Tahoma"/>
          <w:sz w:val="18"/>
          <w:szCs w:val="18"/>
        </w:rPr>
      </w:pPr>
      <w:r w:rsidRPr="004037DE">
        <w:rPr>
          <w:rFonts w:ascii="Tahoma" w:hAnsi="Tahoma" w:cs="Tahoma"/>
          <w:sz w:val="18"/>
          <w:szCs w:val="18"/>
        </w:rPr>
        <w:t>Employee + Child(ren)</w:t>
      </w:r>
    </w:p>
    <w:p w:rsidR="00C9563D" w:rsidRPr="004037DE" w:rsidRDefault="00C9563D" w:rsidP="00C9563D">
      <w:pPr>
        <w:rPr>
          <w:rFonts w:ascii="Tahoma" w:hAnsi="Tahoma" w:cs="Tahoma"/>
          <w:sz w:val="18"/>
          <w:szCs w:val="18"/>
        </w:rPr>
      </w:pPr>
      <w:r w:rsidRPr="004037DE">
        <w:rPr>
          <w:rFonts w:ascii="Tahoma" w:hAnsi="Tahoma" w:cs="Tahoma"/>
          <w:sz w:val="18"/>
          <w:szCs w:val="18"/>
        </w:rPr>
        <w:t>Employee + Spouse</w:t>
      </w:r>
    </w:p>
    <w:p w:rsidR="00C9563D" w:rsidRPr="004037DE" w:rsidRDefault="00C9563D" w:rsidP="00C9563D">
      <w:pPr>
        <w:rPr>
          <w:rFonts w:ascii="Tahoma" w:hAnsi="Tahoma" w:cs="Tahoma"/>
          <w:sz w:val="18"/>
          <w:szCs w:val="18"/>
        </w:rPr>
      </w:pPr>
      <w:r w:rsidRPr="004037DE">
        <w:rPr>
          <w:rFonts w:ascii="Tahoma" w:hAnsi="Tahoma" w:cs="Tahoma"/>
          <w:sz w:val="18"/>
          <w:szCs w:val="18"/>
        </w:rPr>
        <w:t xml:space="preserve">Employee + Spouse &amp; Child(ren) </w:t>
      </w:r>
    </w:p>
    <w:p w:rsidR="00223080" w:rsidRDefault="00C9563D" w:rsidP="00C9563D">
      <w:pPr>
        <w:autoSpaceDE w:val="0"/>
        <w:autoSpaceDN w:val="0"/>
        <w:adjustRightInd w:val="0"/>
        <w:spacing w:after="0" w:line="240" w:lineRule="auto"/>
        <w:rPr>
          <w:rFonts w:ascii="Tahoma" w:hAnsi="Tahoma" w:cs="Tahoma"/>
          <w:sz w:val="18"/>
          <w:szCs w:val="18"/>
        </w:rPr>
      </w:pPr>
      <w:r w:rsidRPr="00C9563D">
        <w:rPr>
          <w:rFonts w:ascii="Tahoma" w:hAnsi="Tahoma" w:cs="Tahoma"/>
          <w:sz w:val="18"/>
          <w:szCs w:val="18"/>
        </w:rPr>
        <w:t xml:space="preserve">The </w:t>
      </w:r>
      <w:r w:rsidR="00EA6D8F">
        <w:rPr>
          <w:rFonts w:ascii="Tahoma" w:hAnsi="Tahoma" w:cs="Tahoma"/>
          <w:sz w:val="18"/>
          <w:szCs w:val="18"/>
        </w:rPr>
        <w:t>Blue View Vision</w:t>
      </w:r>
      <w:r w:rsidRPr="00C9563D">
        <w:rPr>
          <w:rFonts w:ascii="Tahoma" w:hAnsi="Tahoma" w:cs="Tahoma"/>
          <w:sz w:val="18"/>
          <w:szCs w:val="18"/>
        </w:rPr>
        <w:t xml:space="preserve"> participating</w:t>
      </w:r>
      <w:r>
        <w:rPr>
          <w:rFonts w:ascii="Tahoma" w:hAnsi="Tahoma" w:cs="Tahoma"/>
          <w:sz w:val="18"/>
          <w:szCs w:val="18"/>
        </w:rPr>
        <w:t xml:space="preserve"> </w:t>
      </w:r>
      <w:r w:rsidRPr="00C9563D">
        <w:rPr>
          <w:rFonts w:ascii="Tahoma" w:hAnsi="Tahoma" w:cs="Tahoma"/>
          <w:sz w:val="18"/>
          <w:szCs w:val="18"/>
        </w:rPr>
        <w:t>provider network includes private practice</w:t>
      </w:r>
      <w:r>
        <w:rPr>
          <w:rFonts w:ascii="Tahoma" w:hAnsi="Tahoma" w:cs="Tahoma"/>
          <w:sz w:val="18"/>
          <w:szCs w:val="18"/>
        </w:rPr>
        <w:t xml:space="preserve"> </w:t>
      </w:r>
      <w:r w:rsidRPr="00C9563D">
        <w:rPr>
          <w:rFonts w:ascii="Tahoma" w:hAnsi="Tahoma" w:cs="Tahoma"/>
          <w:sz w:val="18"/>
          <w:szCs w:val="18"/>
        </w:rPr>
        <w:t>optometrists, ophthalmologists and retail</w:t>
      </w:r>
      <w:r>
        <w:rPr>
          <w:rFonts w:ascii="Tahoma" w:hAnsi="Tahoma" w:cs="Tahoma"/>
          <w:sz w:val="18"/>
          <w:szCs w:val="18"/>
        </w:rPr>
        <w:t xml:space="preserve"> </w:t>
      </w:r>
      <w:r w:rsidRPr="00C9563D">
        <w:rPr>
          <w:rFonts w:ascii="Tahoma" w:hAnsi="Tahoma" w:cs="Tahoma"/>
          <w:sz w:val="18"/>
          <w:szCs w:val="18"/>
        </w:rPr>
        <w:t>chains.</w:t>
      </w:r>
      <w:r>
        <w:rPr>
          <w:rFonts w:ascii="Tahoma" w:hAnsi="Tahoma" w:cs="Tahoma"/>
          <w:sz w:val="18"/>
          <w:szCs w:val="18"/>
        </w:rPr>
        <w:t xml:space="preserve">  Network providers can be located at </w:t>
      </w:r>
      <w:r w:rsidR="00DE507A">
        <w:rPr>
          <w:rFonts w:ascii="Tahoma" w:hAnsi="Tahoma" w:cs="Tahoma"/>
          <w:sz w:val="18"/>
          <w:szCs w:val="18"/>
        </w:rPr>
        <w:t xml:space="preserve">the </w:t>
      </w:r>
      <w:hyperlink r:id="rId8" w:history="1">
        <w:r w:rsidR="00EA6D8F">
          <w:rPr>
            <w:rStyle w:val="Hyperlink"/>
            <w:rFonts w:ascii="Tahoma" w:hAnsi="Tahoma" w:cs="Tahoma"/>
            <w:b/>
            <w:sz w:val="18"/>
            <w:szCs w:val="18"/>
          </w:rPr>
          <w:t>Blue</w:t>
        </w:r>
      </w:hyperlink>
      <w:r w:rsidR="00EA6D8F">
        <w:rPr>
          <w:rStyle w:val="Hyperlink"/>
          <w:rFonts w:ascii="Tahoma" w:hAnsi="Tahoma" w:cs="Tahoma"/>
          <w:b/>
          <w:sz w:val="18"/>
          <w:szCs w:val="18"/>
        </w:rPr>
        <w:t xml:space="preserve"> Cross Blue Shield</w:t>
      </w:r>
      <w:r w:rsidR="00223080">
        <w:rPr>
          <w:rStyle w:val="Hyperlink"/>
          <w:rFonts w:ascii="Tahoma" w:hAnsi="Tahoma" w:cs="Tahoma"/>
          <w:b/>
          <w:sz w:val="18"/>
          <w:szCs w:val="18"/>
        </w:rPr>
        <w:t xml:space="preserve"> of </w:t>
      </w:r>
      <w:proofErr w:type="gramStart"/>
      <w:r w:rsidR="00223080">
        <w:rPr>
          <w:rStyle w:val="Hyperlink"/>
          <w:rFonts w:ascii="Tahoma" w:hAnsi="Tahoma" w:cs="Tahoma"/>
          <w:b/>
          <w:sz w:val="18"/>
          <w:szCs w:val="18"/>
        </w:rPr>
        <w:t>Georgia</w:t>
      </w:r>
      <w:r w:rsidR="00EA6D8F">
        <w:rPr>
          <w:rStyle w:val="Hyperlink"/>
          <w:rFonts w:ascii="Tahoma" w:hAnsi="Tahoma" w:cs="Tahoma"/>
          <w:b/>
          <w:sz w:val="18"/>
          <w:szCs w:val="18"/>
        </w:rPr>
        <w:t xml:space="preserve"> </w:t>
      </w:r>
      <w:r>
        <w:rPr>
          <w:rFonts w:ascii="Tahoma" w:hAnsi="Tahoma" w:cs="Tahoma"/>
          <w:sz w:val="18"/>
          <w:szCs w:val="18"/>
        </w:rPr>
        <w:t xml:space="preserve"> website</w:t>
      </w:r>
      <w:proofErr w:type="gramEnd"/>
      <w:r>
        <w:rPr>
          <w:rFonts w:ascii="Tahoma" w:hAnsi="Tahoma" w:cs="Tahoma"/>
          <w:sz w:val="18"/>
          <w:szCs w:val="18"/>
        </w:rPr>
        <w:t>.</w:t>
      </w:r>
      <w:r w:rsidR="00223080">
        <w:rPr>
          <w:rFonts w:ascii="Tahoma" w:hAnsi="Tahoma" w:cs="Tahoma"/>
          <w:sz w:val="18"/>
          <w:szCs w:val="18"/>
        </w:rPr>
        <w:t xml:space="preserve"> </w:t>
      </w:r>
    </w:p>
    <w:p w:rsidR="00223080" w:rsidRDefault="00223080" w:rsidP="00C9563D">
      <w:pPr>
        <w:autoSpaceDE w:val="0"/>
        <w:autoSpaceDN w:val="0"/>
        <w:adjustRightInd w:val="0"/>
        <w:spacing w:after="0" w:line="240" w:lineRule="auto"/>
        <w:rPr>
          <w:rFonts w:ascii="Tahoma" w:hAnsi="Tahoma" w:cs="Tahoma"/>
          <w:sz w:val="18"/>
          <w:szCs w:val="18"/>
        </w:rPr>
      </w:pPr>
    </w:p>
    <w:p w:rsidR="00C9563D" w:rsidRDefault="00223080" w:rsidP="00F344DD">
      <w:pPr>
        <w:autoSpaceDE w:val="0"/>
        <w:autoSpaceDN w:val="0"/>
        <w:adjustRightInd w:val="0"/>
        <w:spacing w:after="0" w:line="240" w:lineRule="auto"/>
        <w:jc w:val="center"/>
        <w:rPr>
          <w:rFonts w:ascii="Tahoma" w:hAnsi="Tahoma" w:cs="Tahoma"/>
          <w:sz w:val="18"/>
          <w:szCs w:val="18"/>
        </w:rPr>
      </w:pPr>
      <w:r>
        <w:rPr>
          <w:rFonts w:ascii="Tahoma" w:hAnsi="Tahoma" w:cs="Tahoma"/>
          <w:sz w:val="18"/>
          <w:szCs w:val="18"/>
        </w:rPr>
        <w:t>(</w:t>
      </w:r>
      <w:hyperlink r:id="rId9" w:history="1">
        <w:r w:rsidR="004E53CA" w:rsidRPr="00B80DC5">
          <w:rPr>
            <w:rStyle w:val="Hyperlink"/>
            <w:rFonts w:ascii="Tahoma" w:hAnsi="Tahoma" w:cs="Tahoma"/>
            <w:sz w:val="18"/>
            <w:szCs w:val="18"/>
          </w:rPr>
          <w:t>www.bcbsga.com</w:t>
        </w:r>
      </w:hyperlink>
      <w:r>
        <w:rPr>
          <w:rFonts w:ascii="Tahoma" w:hAnsi="Tahoma" w:cs="Tahoma"/>
          <w:sz w:val="18"/>
          <w:szCs w:val="18"/>
        </w:rPr>
        <w:t>)</w:t>
      </w:r>
    </w:p>
    <w:p w:rsidR="004E53CA" w:rsidRDefault="004E53CA" w:rsidP="00C9563D">
      <w:pPr>
        <w:autoSpaceDE w:val="0"/>
        <w:autoSpaceDN w:val="0"/>
        <w:adjustRightInd w:val="0"/>
        <w:spacing w:after="0" w:line="240" w:lineRule="auto"/>
        <w:rPr>
          <w:rFonts w:ascii="Tahoma" w:hAnsi="Tahoma" w:cs="Tahoma"/>
          <w:sz w:val="18"/>
          <w:szCs w:val="18"/>
        </w:rPr>
      </w:pPr>
    </w:p>
    <w:p w:rsidR="00C9563D" w:rsidRDefault="00C9563D" w:rsidP="00C9563D">
      <w:pPr>
        <w:autoSpaceDE w:val="0"/>
        <w:autoSpaceDN w:val="0"/>
        <w:adjustRightInd w:val="0"/>
        <w:spacing w:after="0" w:line="240" w:lineRule="auto"/>
        <w:rPr>
          <w:rFonts w:ascii="Tahoma" w:hAnsi="Tahoma" w:cs="Tahoma"/>
          <w:sz w:val="18"/>
          <w:szCs w:val="18"/>
        </w:rPr>
      </w:pPr>
    </w:p>
    <w:p w:rsidR="00EA0475" w:rsidRDefault="00EA0475" w:rsidP="00C9563D">
      <w:pPr>
        <w:rPr>
          <w:rFonts w:ascii="Tahoma" w:hAnsi="Tahoma" w:cs="Tahoma"/>
          <w:b/>
          <w:color w:val="0070C0"/>
          <w:sz w:val="18"/>
          <w:szCs w:val="18"/>
        </w:rPr>
      </w:pPr>
      <w:r w:rsidRPr="004037DE">
        <w:rPr>
          <w:rFonts w:ascii="Tahoma" w:hAnsi="Tahoma" w:cs="Tahoma"/>
          <w:sz w:val="18"/>
          <w:szCs w:val="18"/>
        </w:rPr>
        <w:t xml:space="preserve">Detailed plan information and a comparison chart can be found in the </w:t>
      </w:r>
      <w:hyperlink r:id="rId10" w:history="1">
        <w:r w:rsidRPr="003E53DE">
          <w:rPr>
            <w:rStyle w:val="Hyperlink"/>
            <w:rFonts w:ascii="Tahoma" w:hAnsi="Tahoma" w:cs="Tahoma"/>
            <w:b/>
            <w:sz w:val="18"/>
            <w:szCs w:val="18"/>
          </w:rPr>
          <w:t>Enrollment Booklet</w:t>
        </w:r>
      </w:hyperlink>
      <w:r w:rsidRPr="004037DE">
        <w:rPr>
          <w:rFonts w:ascii="Tahoma" w:hAnsi="Tahoma" w:cs="Tahoma"/>
          <w:color w:val="0070C0"/>
          <w:sz w:val="18"/>
          <w:szCs w:val="18"/>
        </w:rPr>
        <w:t xml:space="preserve"> </w:t>
      </w:r>
      <w:r w:rsidRPr="004037DE">
        <w:rPr>
          <w:rFonts w:ascii="Tahoma" w:hAnsi="Tahoma" w:cs="Tahoma"/>
          <w:sz w:val="18"/>
          <w:szCs w:val="18"/>
        </w:rPr>
        <w:t xml:space="preserve">or </w:t>
      </w:r>
      <w:r w:rsidR="007D09FB">
        <w:rPr>
          <w:rFonts w:ascii="Tahoma" w:hAnsi="Tahoma" w:cs="Tahoma"/>
          <w:sz w:val="18"/>
          <w:szCs w:val="18"/>
        </w:rPr>
        <w:t xml:space="preserve">at the </w:t>
      </w:r>
      <w:hyperlink r:id="rId11" w:history="1">
        <w:r w:rsidR="007D09FB" w:rsidRPr="003E53DE">
          <w:rPr>
            <w:rStyle w:val="Hyperlink"/>
            <w:rFonts w:ascii="Tahoma" w:hAnsi="Tahoma" w:cs="Tahoma"/>
            <w:b/>
            <w:sz w:val="18"/>
            <w:szCs w:val="18"/>
          </w:rPr>
          <w:t>GaBreeze link on the Team Georgia website</w:t>
        </w:r>
      </w:hyperlink>
      <w:r w:rsidR="007D09FB">
        <w:rPr>
          <w:rFonts w:ascii="Tahoma" w:hAnsi="Tahoma" w:cs="Tahoma"/>
          <w:b/>
          <w:color w:val="4F81BD" w:themeColor="accent1"/>
          <w:sz w:val="18"/>
          <w:szCs w:val="18"/>
        </w:rPr>
        <w:t>.</w:t>
      </w:r>
      <w:r w:rsidRPr="009E2D34">
        <w:rPr>
          <w:rFonts w:ascii="Tahoma" w:hAnsi="Tahoma" w:cs="Tahoma"/>
          <w:color w:val="4F81BD" w:themeColor="accent1"/>
          <w:sz w:val="18"/>
          <w:szCs w:val="18"/>
        </w:rPr>
        <w:t xml:space="preserve"> </w:t>
      </w:r>
      <w:r>
        <w:rPr>
          <w:rFonts w:ascii="Tahoma" w:hAnsi="Tahoma" w:cs="Tahoma"/>
          <w:sz w:val="18"/>
          <w:szCs w:val="18"/>
        </w:rPr>
        <w:t xml:space="preserve">  </w:t>
      </w:r>
      <w:r w:rsidR="00111146" w:rsidRPr="004037DE">
        <w:rPr>
          <w:rFonts w:ascii="Tahoma" w:hAnsi="Tahoma" w:cs="Tahoma"/>
          <w:sz w:val="18"/>
          <w:szCs w:val="18"/>
        </w:rPr>
        <w:t xml:space="preserve">Pricing per plan and coverage tier varies and is accessible on the </w:t>
      </w:r>
      <w:r w:rsidR="00111146">
        <w:rPr>
          <w:rFonts w:ascii="Tahoma" w:hAnsi="Tahoma" w:cs="Tahoma"/>
          <w:b/>
          <w:color w:val="0070C0"/>
          <w:sz w:val="18"/>
          <w:szCs w:val="18"/>
        </w:rPr>
        <w:t>Flexible Benefit</w:t>
      </w:r>
      <w:r w:rsidR="00111146" w:rsidRPr="00AA7B9D">
        <w:rPr>
          <w:rFonts w:ascii="Tahoma" w:hAnsi="Tahoma" w:cs="Tahoma"/>
          <w:b/>
          <w:color w:val="0070C0"/>
          <w:sz w:val="18"/>
          <w:szCs w:val="18"/>
        </w:rPr>
        <w:t xml:space="preserve"> Rate Chart</w:t>
      </w:r>
    </w:p>
    <w:p w:rsidR="007E5ECD" w:rsidRDefault="007E5ECD" w:rsidP="007E5ECD">
      <w:pPr>
        <w:rPr>
          <w:rFonts w:ascii="Tahoma" w:hAnsi="Tahoma" w:cs="Tahoma"/>
          <w:sz w:val="18"/>
          <w:szCs w:val="18"/>
        </w:rPr>
      </w:pPr>
      <w:r w:rsidRPr="00C276A9">
        <w:rPr>
          <w:rFonts w:ascii="Tahoma" w:hAnsi="Tahoma" w:cs="Tahoma"/>
          <w:sz w:val="18"/>
          <w:szCs w:val="18"/>
        </w:rPr>
        <w:t>Enrollment</w:t>
      </w:r>
      <w:r>
        <w:rPr>
          <w:rFonts w:ascii="Tahoma" w:hAnsi="Tahoma" w:cs="Tahoma"/>
          <w:sz w:val="18"/>
          <w:szCs w:val="18"/>
        </w:rPr>
        <w:t xml:space="preserve"> is made by new hires within 31 days of hire date at </w:t>
      </w:r>
      <w:hyperlink r:id="rId12" w:history="1">
        <w:r w:rsidRPr="003E53DE">
          <w:rPr>
            <w:rStyle w:val="Hyperlink"/>
            <w:rFonts w:ascii="Tahoma" w:hAnsi="Tahoma" w:cs="Tahoma"/>
            <w:b/>
            <w:sz w:val="18"/>
            <w:szCs w:val="18"/>
          </w:rPr>
          <w:t>GaBreeze Enrollment</w:t>
        </w:r>
      </w:hyperlink>
      <w:r>
        <w:rPr>
          <w:rFonts w:ascii="Tahoma" w:hAnsi="Tahoma" w:cs="Tahoma"/>
          <w:sz w:val="18"/>
          <w:szCs w:val="18"/>
        </w:rPr>
        <w:t xml:space="preserve">.  </w:t>
      </w:r>
    </w:p>
    <w:p w:rsidR="007E5ECD" w:rsidRDefault="007E5ECD" w:rsidP="007E5ECD">
      <w:pPr>
        <w:rPr>
          <w:rFonts w:ascii="Tahoma" w:hAnsi="Tahoma" w:cs="Tahoma"/>
          <w:sz w:val="18"/>
          <w:szCs w:val="18"/>
        </w:rPr>
      </w:pPr>
      <w:r>
        <w:rPr>
          <w:rFonts w:ascii="Tahoma" w:hAnsi="Tahoma" w:cs="Tahoma"/>
          <w:sz w:val="18"/>
          <w:szCs w:val="18"/>
        </w:rPr>
        <w:t xml:space="preserve">Enrollment/Changes due to qualifying life events during Plan Year are made within 31 days of event at </w:t>
      </w:r>
      <w:hyperlink r:id="rId13" w:history="1">
        <w:r w:rsidRPr="003E53DE">
          <w:rPr>
            <w:rStyle w:val="Hyperlink"/>
            <w:rFonts w:ascii="Tahoma" w:hAnsi="Tahoma" w:cs="Tahoma"/>
            <w:b/>
            <w:sz w:val="18"/>
            <w:szCs w:val="18"/>
          </w:rPr>
          <w:t>GaBreeze</w:t>
        </w:r>
      </w:hyperlink>
      <w:r>
        <w:rPr>
          <w:rFonts w:ascii="Tahoma" w:hAnsi="Tahoma" w:cs="Tahoma"/>
          <w:sz w:val="18"/>
          <w:szCs w:val="18"/>
        </w:rPr>
        <w:t>.</w:t>
      </w:r>
    </w:p>
    <w:p w:rsidR="007E5ECD" w:rsidRPr="00C276A9" w:rsidRDefault="007E5ECD" w:rsidP="007E5ECD">
      <w:pPr>
        <w:rPr>
          <w:rFonts w:ascii="Tahoma" w:hAnsi="Tahoma" w:cs="Tahoma"/>
          <w:sz w:val="18"/>
          <w:szCs w:val="18"/>
        </w:rPr>
      </w:pPr>
      <w:r>
        <w:rPr>
          <w:rFonts w:ascii="Tahoma" w:hAnsi="Tahoma" w:cs="Tahoma"/>
          <w:sz w:val="18"/>
          <w:szCs w:val="18"/>
        </w:rPr>
        <w:t xml:space="preserve">Current Employees not experiencing a qualifying life changing event must enroll online at </w:t>
      </w:r>
      <w:hyperlink r:id="rId14" w:history="1">
        <w:r w:rsidRPr="003E53DE">
          <w:rPr>
            <w:rStyle w:val="Hyperlink"/>
            <w:rFonts w:ascii="Tahoma" w:hAnsi="Tahoma" w:cs="Tahoma"/>
            <w:b/>
            <w:sz w:val="18"/>
            <w:szCs w:val="18"/>
          </w:rPr>
          <w:t>GaBreeze</w:t>
        </w:r>
      </w:hyperlink>
      <w:r>
        <w:rPr>
          <w:rFonts w:ascii="Tahoma" w:hAnsi="Tahoma" w:cs="Tahoma"/>
          <w:sz w:val="18"/>
          <w:szCs w:val="18"/>
        </w:rPr>
        <w:t xml:space="preserve"> during annual enrollment period only for benefits beginning the following Plan Year.</w:t>
      </w:r>
    </w:p>
    <w:p w:rsidR="00111146" w:rsidRDefault="003E53DE" w:rsidP="00111146">
      <w:pPr>
        <w:ind w:left="720" w:firstLine="180"/>
        <w:rPr>
          <w:rFonts w:ascii="Tahoma" w:hAnsi="Tahoma" w:cs="Tahoma"/>
          <w:i/>
          <w:sz w:val="18"/>
          <w:szCs w:val="18"/>
        </w:rPr>
      </w:pPr>
      <w:r>
        <w:rPr>
          <w:rFonts w:ascii="Tahoma" w:hAnsi="Tahoma" w:cs="Tahoma"/>
          <w:i/>
          <w:sz w:val="18"/>
          <w:szCs w:val="18"/>
        </w:rPr>
        <w:t xml:space="preserve"> </w:t>
      </w:r>
      <w:r w:rsidR="00111146">
        <w:rPr>
          <w:rFonts w:ascii="Tahoma" w:hAnsi="Tahoma" w:cs="Tahoma"/>
          <w:i/>
          <w:sz w:val="18"/>
          <w:szCs w:val="18"/>
        </w:rPr>
        <w:t>(</w:t>
      </w:r>
      <w:r w:rsidR="00111146" w:rsidRPr="009E2D34">
        <w:rPr>
          <w:rFonts w:ascii="Tahoma" w:hAnsi="Tahoma" w:cs="Tahoma"/>
          <w:i/>
          <w:sz w:val="18"/>
          <w:szCs w:val="18"/>
        </w:rPr>
        <w:t xml:space="preserve">Link </w:t>
      </w:r>
      <w:r w:rsidR="00111146">
        <w:rPr>
          <w:rFonts w:ascii="Tahoma" w:hAnsi="Tahoma" w:cs="Tahoma"/>
          <w:i/>
          <w:sz w:val="18"/>
          <w:szCs w:val="18"/>
        </w:rPr>
        <w:t>Rate Chart to</w:t>
      </w:r>
      <w:r w:rsidR="00111146" w:rsidRPr="009E2D34">
        <w:rPr>
          <w:rFonts w:ascii="Tahoma" w:hAnsi="Tahoma" w:cs="Tahoma"/>
          <w:i/>
          <w:sz w:val="18"/>
          <w:szCs w:val="18"/>
        </w:rPr>
        <w:t xml:space="preserve"> </w:t>
      </w:r>
      <w:r w:rsidRPr="003E53DE">
        <w:rPr>
          <w:rFonts w:ascii="Tahoma" w:hAnsi="Tahoma" w:cs="Tahoma"/>
          <w:i/>
          <w:sz w:val="18"/>
          <w:szCs w:val="18"/>
        </w:rPr>
        <w:t>201</w:t>
      </w:r>
      <w:r w:rsidR="001D39E8">
        <w:rPr>
          <w:rFonts w:ascii="Tahoma" w:hAnsi="Tahoma" w:cs="Tahoma"/>
          <w:i/>
          <w:sz w:val="18"/>
          <w:szCs w:val="18"/>
        </w:rPr>
        <w:t>6</w:t>
      </w:r>
      <w:bookmarkStart w:id="0" w:name="_GoBack"/>
      <w:bookmarkEnd w:id="0"/>
      <w:r w:rsidRPr="003E53DE">
        <w:rPr>
          <w:rFonts w:ascii="Tahoma" w:hAnsi="Tahoma" w:cs="Tahoma"/>
          <w:i/>
          <w:sz w:val="18"/>
          <w:szCs w:val="18"/>
        </w:rPr>
        <w:t xml:space="preserve"> Flexible Benefits Rate pdf</w:t>
      </w:r>
      <w:r w:rsidR="00111146">
        <w:rPr>
          <w:rFonts w:ascii="Tahoma" w:hAnsi="Tahoma" w:cs="Tahoma"/>
          <w:i/>
          <w:sz w:val="18"/>
          <w:szCs w:val="18"/>
        </w:rPr>
        <w:t>)</w:t>
      </w:r>
    </w:p>
    <w:p w:rsidR="0010037F" w:rsidRDefault="0010037F" w:rsidP="00535863">
      <w:pPr>
        <w:autoSpaceDE w:val="0"/>
        <w:autoSpaceDN w:val="0"/>
        <w:adjustRightInd w:val="0"/>
        <w:spacing w:after="0" w:line="240" w:lineRule="auto"/>
        <w:rPr>
          <w:rFonts w:ascii="Tahoma" w:hAnsi="Tahoma" w:cs="Tahoma"/>
          <w:b/>
          <w:bCs/>
          <w:sz w:val="18"/>
          <w:szCs w:val="18"/>
        </w:rPr>
      </w:pPr>
    </w:p>
    <w:p w:rsidR="00535863" w:rsidRPr="007C6F86" w:rsidRDefault="00535863" w:rsidP="00535863">
      <w:pPr>
        <w:autoSpaceDE w:val="0"/>
        <w:autoSpaceDN w:val="0"/>
        <w:adjustRightInd w:val="0"/>
        <w:spacing w:after="0" w:line="240" w:lineRule="auto"/>
        <w:rPr>
          <w:rFonts w:ascii="Tahoma" w:hAnsi="Tahoma" w:cs="Tahoma"/>
          <w:b/>
          <w:bCs/>
          <w:sz w:val="18"/>
          <w:szCs w:val="18"/>
        </w:rPr>
      </w:pPr>
      <w:r w:rsidRPr="007C6F86">
        <w:rPr>
          <w:rFonts w:ascii="Tahoma" w:hAnsi="Tahoma" w:cs="Tahoma"/>
          <w:b/>
          <w:bCs/>
          <w:sz w:val="18"/>
          <w:szCs w:val="18"/>
        </w:rPr>
        <w:t>Important Information for Select and Select Plus Plans</w:t>
      </w:r>
    </w:p>
    <w:p w:rsidR="00EA6D8F" w:rsidRDefault="00535863" w:rsidP="00535863">
      <w:pPr>
        <w:autoSpaceDE w:val="0"/>
        <w:autoSpaceDN w:val="0"/>
        <w:adjustRightInd w:val="0"/>
        <w:spacing w:after="0" w:line="240" w:lineRule="auto"/>
        <w:rPr>
          <w:rFonts w:ascii="Tahoma" w:hAnsi="Tahoma" w:cs="Tahoma"/>
          <w:b/>
          <w:bCs/>
          <w:sz w:val="18"/>
          <w:szCs w:val="18"/>
        </w:rPr>
      </w:pPr>
      <w:r w:rsidRPr="007C6F86">
        <w:rPr>
          <w:rFonts w:ascii="Tahoma" w:hAnsi="Tahoma" w:cs="Tahoma"/>
          <w:sz w:val="18"/>
          <w:szCs w:val="18"/>
        </w:rPr>
        <w:t xml:space="preserve">• Benefits are provided every </w:t>
      </w:r>
      <w:r w:rsidR="007054C9">
        <w:rPr>
          <w:rFonts w:ascii="Tahoma" w:hAnsi="Tahoma" w:cs="Tahoma"/>
          <w:sz w:val="18"/>
          <w:szCs w:val="18"/>
        </w:rPr>
        <w:t>Calendar Year</w:t>
      </w:r>
      <w:r w:rsidRPr="007C6F86">
        <w:rPr>
          <w:rFonts w:ascii="Tahoma" w:hAnsi="Tahoma" w:cs="Tahoma"/>
          <w:sz w:val="18"/>
          <w:szCs w:val="18"/>
        </w:rPr>
        <w:t xml:space="preserve"> for exams, lenses and/or contacts</w:t>
      </w:r>
      <w:r w:rsidR="007054C9">
        <w:rPr>
          <w:rFonts w:ascii="Tahoma" w:hAnsi="Tahoma" w:cs="Tahoma"/>
          <w:sz w:val="18"/>
          <w:szCs w:val="18"/>
        </w:rPr>
        <w:t xml:space="preserve"> and for frames measured from the last date of service</w:t>
      </w:r>
      <w:r w:rsidR="007D0693">
        <w:rPr>
          <w:rFonts w:ascii="Tahoma" w:hAnsi="Tahoma" w:cs="Tahoma"/>
          <w:sz w:val="18"/>
          <w:szCs w:val="18"/>
        </w:rPr>
        <w:t>.</w:t>
      </w:r>
      <w:r w:rsidRPr="007C6F86">
        <w:rPr>
          <w:rFonts w:ascii="Tahoma" w:hAnsi="Tahoma" w:cs="Tahoma"/>
          <w:sz w:val="18"/>
          <w:szCs w:val="18"/>
        </w:rPr>
        <w:t xml:space="preserve"> </w:t>
      </w:r>
    </w:p>
    <w:p w:rsidR="00EA6D8F" w:rsidRDefault="00EA6D8F" w:rsidP="00535863">
      <w:pPr>
        <w:autoSpaceDE w:val="0"/>
        <w:autoSpaceDN w:val="0"/>
        <w:adjustRightInd w:val="0"/>
        <w:spacing w:after="0" w:line="240" w:lineRule="auto"/>
        <w:rPr>
          <w:rFonts w:ascii="Tahoma" w:hAnsi="Tahoma" w:cs="Tahoma"/>
          <w:b/>
          <w:bCs/>
          <w:sz w:val="18"/>
          <w:szCs w:val="18"/>
        </w:rPr>
      </w:pPr>
    </w:p>
    <w:p w:rsidR="00EA6D8F" w:rsidRDefault="00EA6D8F" w:rsidP="00535863">
      <w:pPr>
        <w:autoSpaceDE w:val="0"/>
        <w:autoSpaceDN w:val="0"/>
        <w:adjustRightInd w:val="0"/>
        <w:spacing w:after="0" w:line="240" w:lineRule="auto"/>
        <w:rPr>
          <w:rFonts w:ascii="Tahoma" w:hAnsi="Tahoma" w:cs="Tahoma"/>
          <w:b/>
          <w:bCs/>
          <w:sz w:val="18"/>
          <w:szCs w:val="18"/>
        </w:rPr>
      </w:pPr>
    </w:p>
    <w:p w:rsidR="00535863" w:rsidRPr="007C6F86" w:rsidRDefault="00535863" w:rsidP="00535863">
      <w:pPr>
        <w:autoSpaceDE w:val="0"/>
        <w:autoSpaceDN w:val="0"/>
        <w:adjustRightInd w:val="0"/>
        <w:spacing w:after="0" w:line="240" w:lineRule="auto"/>
        <w:rPr>
          <w:rFonts w:ascii="Tahoma" w:hAnsi="Tahoma" w:cs="Tahoma"/>
          <w:b/>
          <w:bCs/>
          <w:sz w:val="18"/>
          <w:szCs w:val="18"/>
        </w:rPr>
      </w:pPr>
      <w:r w:rsidRPr="007C6F86">
        <w:rPr>
          <w:rFonts w:ascii="Tahoma" w:hAnsi="Tahoma" w:cs="Tahoma"/>
          <w:b/>
          <w:bCs/>
          <w:sz w:val="18"/>
          <w:szCs w:val="18"/>
        </w:rPr>
        <w:t>Select Option</w:t>
      </w:r>
    </w:p>
    <w:p w:rsidR="006C3520" w:rsidRDefault="00535863" w:rsidP="00535863">
      <w:pPr>
        <w:autoSpaceDE w:val="0"/>
        <w:autoSpaceDN w:val="0"/>
        <w:adjustRightInd w:val="0"/>
        <w:spacing w:after="0" w:line="240" w:lineRule="auto"/>
        <w:rPr>
          <w:rFonts w:ascii="Tahoma" w:hAnsi="Tahoma" w:cs="Tahoma"/>
          <w:sz w:val="18"/>
          <w:szCs w:val="18"/>
        </w:rPr>
      </w:pPr>
      <w:r w:rsidRPr="007C6F86">
        <w:rPr>
          <w:rFonts w:ascii="Tahoma" w:hAnsi="Tahoma" w:cs="Tahoma"/>
          <w:sz w:val="18"/>
          <w:szCs w:val="18"/>
        </w:rPr>
        <w:lastRenderedPageBreak/>
        <w:t xml:space="preserve">• </w:t>
      </w:r>
      <w:r w:rsidR="00B87D3F">
        <w:rPr>
          <w:rFonts w:ascii="Tahoma" w:hAnsi="Tahoma" w:cs="Tahoma"/>
          <w:sz w:val="18"/>
          <w:szCs w:val="18"/>
        </w:rPr>
        <w:t>The Select Plan covers standard single vision and standard lined multi focal lenses for glasses. Cosmetic lens options such as tinting, UV coating, transitional lenses, etc., are not covered but are provided to Blue Cross Blue Shield Vision’s members at a savings below normal retail charges.</w:t>
      </w:r>
    </w:p>
    <w:p w:rsidR="00DF252B" w:rsidRDefault="00535863" w:rsidP="001257D7">
      <w:pPr>
        <w:autoSpaceDE w:val="0"/>
        <w:autoSpaceDN w:val="0"/>
        <w:adjustRightInd w:val="0"/>
        <w:spacing w:after="0" w:line="240" w:lineRule="auto"/>
        <w:rPr>
          <w:rFonts w:ascii="Tahoma" w:hAnsi="Tahoma" w:cs="Tahoma"/>
          <w:sz w:val="18"/>
          <w:szCs w:val="18"/>
        </w:rPr>
      </w:pPr>
      <w:r w:rsidRPr="007C6F86">
        <w:rPr>
          <w:rFonts w:ascii="Tahoma" w:hAnsi="Tahoma" w:cs="Tahoma"/>
          <w:sz w:val="18"/>
          <w:szCs w:val="18"/>
        </w:rPr>
        <w:t xml:space="preserve">• </w:t>
      </w:r>
      <w:r w:rsidR="001257D7">
        <w:rPr>
          <w:rFonts w:ascii="Tahoma" w:hAnsi="Tahoma" w:cs="Tahoma"/>
          <w:sz w:val="18"/>
          <w:szCs w:val="18"/>
        </w:rPr>
        <w:t>Certain standard contact lenses, including daily wear and up to 4 boxes of standard single vision disposable contacts are covered in full for your co-payments. Under the Select Plan, if you purchase contacts that are not among Blue Cross Blue Shield Vision’s “covered in full” selection you will receive an annual $105 allowance toward the purchase of contact lenses and professional fees (i.e., fit and follow-up).</w:t>
      </w:r>
    </w:p>
    <w:p w:rsidR="00111146" w:rsidRPr="007C6F86" w:rsidRDefault="00535863" w:rsidP="00535863">
      <w:pPr>
        <w:autoSpaceDE w:val="0"/>
        <w:autoSpaceDN w:val="0"/>
        <w:adjustRightInd w:val="0"/>
        <w:spacing w:after="0" w:line="240" w:lineRule="auto"/>
        <w:rPr>
          <w:rFonts w:ascii="Tahoma" w:hAnsi="Tahoma" w:cs="Tahoma"/>
          <w:sz w:val="18"/>
          <w:szCs w:val="18"/>
        </w:rPr>
      </w:pPr>
      <w:r w:rsidRPr="007C6F86">
        <w:rPr>
          <w:rFonts w:ascii="Tahoma" w:hAnsi="Tahoma" w:cs="Tahoma"/>
          <w:sz w:val="18"/>
          <w:szCs w:val="18"/>
        </w:rPr>
        <w:t xml:space="preserve"> </w:t>
      </w:r>
      <w:r w:rsidRPr="00B87D3F">
        <w:rPr>
          <w:rFonts w:ascii="Tahoma" w:hAnsi="Tahoma" w:cs="Tahoma"/>
          <w:sz w:val="18"/>
          <w:szCs w:val="18"/>
        </w:rPr>
        <w:t>• To receive the full $105 allowance under the Select Plan, you must receive your</w:t>
      </w:r>
      <w:r w:rsidR="00DE507A">
        <w:rPr>
          <w:rFonts w:ascii="Tahoma" w:hAnsi="Tahoma" w:cs="Tahoma"/>
          <w:sz w:val="18"/>
          <w:szCs w:val="18"/>
        </w:rPr>
        <w:t xml:space="preserve"> </w:t>
      </w:r>
      <w:r w:rsidRPr="00B87D3F">
        <w:rPr>
          <w:rFonts w:ascii="Tahoma" w:hAnsi="Tahoma" w:cs="Tahoma"/>
          <w:sz w:val="18"/>
          <w:szCs w:val="18"/>
        </w:rPr>
        <w:t>exam, fitting and evaluation at a single visit to the same network provider. The allowance will only apply to one purchase per plan year. You must submit all receipts</w:t>
      </w:r>
      <w:r w:rsidR="001257D7">
        <w:rPr>
          <w:rFonts w:ascii="Tahoma" w:hAnsi="Tahoma" w:cs="Tahoma"/>
          <w:sz w:val="18"/>
          <w:szCs w:val="18"/>
        </w:rPr>
        <w:t xml:space="preserve"> </w:t>
      </w:r>
      <w:r w:rsidRPr="00B87D3F">
        <w:rPr>
          <w:rFonts w:ascii="Tahoma" w:hAnsi="Tahoma" w:cs="Tahoma"/>
          <w:sz w:val="18"/>
          <w:szCs w:val="18"/>
        </w:rPr>
        <w:t>at the same time. Any balance remaining and not used during the plan year when the purchase occurred will be forfeited.</w:t>
      </w:r>
    </w:p>
    <w:p w:rsidR="00535863" w:rsidRPr="007C6F86" w:rsidRDefault="00535863" w:rsidP="00535863">
      <w:pPr>
        <w:autoSpaceDE w:val="0"/>
        <w:autoSpaceDN w:val="0"/>
        <w:adjustRightInd w:val="0"/>
        <w:spacing w:after="0" w:line="240" w:lineRule="auto"/>
        <w:rPr>
          <w:rFonts w:ascii="Tahoma" w:hAnsi="Tahoma" w:cs="Tahoma"/>
          <w:sz w:val="18"/>
          <w:szCs w:val="18"/>
        </w:rPr>
      </w:pPr>
    </w:p>
    <w:p w:rsidR="00535863" w:rsidRPr="007C6F86" w:rsidRDefault="00535863" w:rsidP="00535863">
      <w:pPr>
        <w:autoSpaceDE w:val="0"/>
        <w:autoSpaceDN w:val="0"/>
        <w:adjustRightInd w:val="0"/>
        <w:spacing w:after="0" w:line="240" w:lineRule="auto"/>
        <w:rPr>
          <w:rFonts w:ascii="Tahoma" w:hAnsi="Tahoma" w:cs="Tahoma"/>
          <w:sz w:val="18"/>
          <w:szCs w:val="18"/>
        </w:rPr>
      </w:pPr>
    </w:p>
    <w:p w:rsidR="00535863" w:rsidRPr="007C6F86" w:rsidRDefault="00535863" w:rsidP="00535863">
      <w:pPr>
        <w:autoSpaceDE w:val="0"/>
        <w:autoSpaceDN w:val="0"/>
        <w:adjustRightInd w:val="0"/>
        <w:spacing w:after="0" w:line="240" w:lineRule="auto"/>
        <w:rPr>
          <w:rFonts w:ascii="Tahoma" w:hAnsi="Tahoma" w:cs="Tahoma"/>
          <w:b/>
          <w:bCs/>
          <w:sz w:val="18"/>
          <w:szCs w:val="18"/>
        </w:rPr>
      </w:pPr>
      <w:r w:rsidRPr="007C6F86">
        <w:rPr>
          <w:rFonts w:ascii="Tahoma" w:hAnsi="Tahoma" w:cs="Tahoma"/>
          <w:b/>
          <w:bCs/>
          <w:sz w:val="18"/>
          <w:szCs w:val="18"/>
        </w:rPr>
        <w:t>Select Plus Option</w:t>
      </w:r>
    </w:p>
    <w:p w:rsidR="00535863" w:rsidRPr="007C6F86" w:rsidRDefault="00535863" w:rsidP="00535863">
      <w:pPr>
        <w:autoSpaceDE w:val="0"/>
        <w:autoSpaceDN w:val="0"/>
        <w:adjustRightInd w:val="0"/>
        <w:spacing w:after="0" w:line="240" w:lineRule="auto"/>
        <w:rPr>
          <w:rFonts w:ascii="Tahoma" w:hAnsi="Tahoma" w:cs="Tahoma"/>
          <w:sz w:val="18"/>
          <w:szCs w:val="18"/>
        </w:rPr>
      </w:pPr>
      <w:r w:rsidRPr="007C6F86">
        <w:rPr>
          <w:rFonts w:ascii="Tahoma" w:hAnsi="Tahoma" w:cs="Tahoma"/>
          <w:sz w:val="18"/>
          <w:szCs w:val="18"/>
        </w:rPr>
        <w:t>• In addition to the coverage in the Select Plan, the Select Plus Plan does offer cosmetic lens options for Tints, UV, Polycarbonate and Basic Progressive lenses.</w:t>
      </w:r>
    </w:p>
    <w:p w:rsidR="00535863" w:rsidRDefault="00535863" w:rsidP="00535863">
      <w:pPr>
        <w:autoSpaceDE w:val="0"/>
        <w:autoSpaceDN w:val="0"/>
        <w:adjustRightInd w:val="0"/>
        <w:spacing w:after="0" w:line="240" w:lineRule="auto"/>
        <w:rPr>
          <w:rFonts w:ascii="Tahoma" w:hAnsi="Tahoma" w:cs="Tahoma"/>
          <w:sz w:val="18"/>
          <w:szCs w:val="18"/>
        </w:rPr>
      </w:pPr>
      <w:r w:rsidRPr="007C6F86">
        <w:rPr>
          <w:rFonts w:ascii="Tahoma" w:hAnsi="Tahoma" w:cs="Tahoma"/>
          <w:sz w:val="18"/>
          <w:szCs w:val="18"/>
        </w:rPr>
        <w:t>• To receive the full $</w:t>
      </w:r>
      <w:r w:rsidR="001257D7">
        <w:rPr>
          <w:rFonts w:ascii="Tahoma" w:hAnsi="Tahoma" w:cs="Tahoma"/>
          <w:sz w:val="18"/>
          <w:szCs w:val="18"/>
        </w:rPr>
        <w:t>200</w:t>
      </w:r>
      <w:r w:rsidRPr="007C6F86">
        <w:rPr>
          <w:rFonts w:ascii="Tahoma" w:hAnsi="Tahoma" w:cs="Tahoma"/>
          <w:sz w:val="18"/>
          <w:szCs w:val="18"/>
        </w:rPr>
        <w:t xml:space="preserve"> allowance under the Select plus Plan, you must receive your exam, fitting and evaluation at a single visit to the same network provider. The allowance will only apply to one purchase per plan year. You must submit all receipts at the same time. Any balance remaining and not used during the plan year when the purchase occurred will be forfeited.</w:t>
      </w:r>
    </w:p>
    <w:p w:rsidR="001257D7" w:rsidRDefault="001257D7" w:rsidP="00535863">
      <w:pPr>
        <w:autoSpaceDE w:val="0"/>
        <w:autoSpaceDN w:val="0"/>
        <w:adjustRightInd w:val="0"/>
        <w:spacing w:after="0" w:line="240" w:lineRule="auto"/>
        <w:rPr>
          <w:rFonts w:ascii="Tahoma" w:hAnsi="Tahoma" w:cs="Tahoma"/>
          <w:sz w:val="18"/>
          <w:szCs w:val="18"/>
        </w:rPr>
      </w:pPr>
    </w:p>
    <w:p w:rsidR="001257D7" w:rsidRPr="007C6F86" w:rsidRDefault="001257D7" w:rsidP="00535863">
      <w:pPr>
        <w:autoSpaceDE w:val="0"/>
        <w:autoSpaceDN w:val="0"/>
        <w:adjustRightInd w:val="0"/>
        <w:spacing w:after="0" w:line="240" w:lineRule="auto"/>
        <w:rPr>
          <w:rFonts w:ascii="Tahoma" w:hAnsi="Tahoma" w:cs="Tahoma"/>
          <w:i/>
          <w:color w:val="0070C0"/>
          <w:sz w:val="18"/>
          <w:szCs w:val="18"/>
        </w:rPr>
      </w:pPr>
    </w:p>
    <w:sectPr w:rsidR="001257D7" w:rsidRPr="007C6F8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7F" w:rsidRDefault="0010037F" w:rsidP="00584502">
      <w:pPr>
        <w:spacing w:after="0" w:line="240" w:lineRule="auto"/>
      </w:pPr>
      <w:r>
        <w:separator/>
      </w:r>
    </w:p>
  </w:endnote>
  <w:endnote w:type="continuationSeparator" w:id="0">
    <w:p w:rsidR="0010037F" w:rsidRDefault="0010037F" w:rsidP="0058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7F" w:rsidRDefault="0010037F" w:rsidP="00584502">
      <w:pPr>
        <w:spacing w:after="0" w:line="240" w:lineRule="auto"/>
      </w:pPr>
      <w:r>
        <w:separator/>
      </w:r>
    </w:p>
  </w:footnote>
  <w:footnote w:type="continuationSeparator" w:id="0">
    <w:p w:rsidR="0010037F" w:rsidRDefault="0010037F" w:rsidP="00584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37F" w:rsidRDefault="0010037F" w:rsidP="00584502">
    <w:pPr>
      <w:pStyle w:val="Header"/>
      <w:jc w:val="center"/>
    </w:pPr>
    <w:r>
      <w:rPr>
        <w:noProof/>
        <w:color w:val="4F81BD" w:themeColor="accent1"/>
      </w:rPr>
      <mc:AlternateContent>
        <mc:Choice Requires="wpg">
          <w:drawing>
            <wp:anchor distT="0" distB="0" distL="114300" distR="114300" simplePos="0" relativeHeight="251659264" behindDoc="0" locked="0" layoutInCell="1" allowOverlap="1" wp14:anchorId="4F461B80" wp14:editId="4F99CE59">
              <wp:simplePos x="0" y="0"/>
              <wp:positionH relativeFrom="page">
                <wp:align>left</wp:align>
              </wp:positionH>
              <wp:positionV relativeFrom="page">
                <wp:align>top</wp:align>
              </wp:positionV>
              <wp:extent cx="4041530" cy="1003564"/>
              <wp:effectExtent l="0" t="57150" r="35170" b="25136"/>
              <wp:wrapNone/>
              <wp:docPr id="63" name="Group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w14:anchorId="1F93435E" id="Group 63" o:spid="_x0000_s1026" style="position:absolute;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5b3d7 [1940]" strokecolor="#95b3d7 [1940]">
                <v:fill color2="#95b3d7 [1940]" rotate="t" focusposition=".5,.5" focussize="" colors="0 #b7d0f1;.5 #d2e0f5;1 #e8effa"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5b3d7 [1940]" stroked="f" strokeweight="2pt">
                <v:fill color2="#95b3d7 [1940]" rotate="t" focusposition=".5,.5" focussize="" colors="0 #b7d0f1;.5 #d2e0f5;1 #e8effa" focus="100%" type="gradientRadial"/>
              </v:oval>
              <w10:wrap anchorx="page" anchory="page"/>
            </v:group>
          </w:pict>
        </mc:Fallback>
      </mc:AlternateContent>
    </w:r>
    <w:r>
      <w:rPr>
        <w:color w:val="365F91" w:themeColor="accent1" w:themeShade="BF"/>
      </w:rPr>
      <w:t>Vision Insurance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B43"/>
    <w:rsid w:val="00014372"/>
    <w:rsid w:val="0010037F"/>
    <w:rsid w:val="00111146"/>
    <w:rsid w:val="00121FCF"/>
    <w:rsid w:val="001257D7"/>
    <w:rsid w:val="001D39E8"/>
    <w:rsid w:val="00223080"/>
    <w:rsid w:val="002403EE"/>
    <w:rsid w:val="002C3941"/>
    <w:rsid w:val="002E19AB"/>
    <w:rsid w:val="00384B9E"/>
    <w:rsid w:val="003E53DE"/>
    <w:rsid w:val="00497635"/>
    <w:rsid w:val="004E53CA"/>
    <w:rsid w:val="00523AE6"/>
    <w:rsid w:val="00535863"/>
    <w:rsid w:val="00584502"/>
    <w:rsid w:val="00591E1A"/>
    <w:rsid w:val="00664F68"/>
    <w:rsid w:val="006C3520"/>
    <w:rsid w:val="007054C9"/>
    <w:rsid w:val="007C6F86"/>
    <w:rsid w:val="007D0693"/>
    <w:rsid w:val="007D09FB"/>
    <w:rsid w:val="007E5ECD"/>
    <w:rsid w:val="00801E85"/>
    <w:rsid w:val="00893CB3"/>
    <w:rsid w:val="008C52D0"/>
    <w:rsid w:val="009102CE"/>
    <w:rsid w:val="00941901"/>
    <w:rsid w:val="009868BF"/>
    <w:rsid w:val="009D1BFF"/>
    <w:rsid w:val="00A741D6"/>
    <w:rsid w:val="00B87D3F"/>
    <w:rsid w:val="00C84ACF"/>
    <w:rsid w:val="00C9563D"/>
    <w:rsid w:val="00C977B4"/>
    <w:rsid w:val="00D97E70"/>
    <w:rsid w:val="00DE1357"/>
    <w:rsid w:val="00DE4B43"/>
    <w:rsid w:val="00DE507A"/>
    <w:rsid w:val="00DF252B"/>
    <w:rsid w:val="00E17464"/>
    <w:rsid w:val="00EA0475"/>
    <w:rsid w:val="00EA6D8F"/>
    <w:rsid w:val="00F05005"/>
    <w:rsid w:val="00F344DD"/>
    <w:rsid w:val="00FB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01A08-BE50-48C2-93E7-4629367F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502"/>
  </w:style>
  <w:style w:type="paragraph" w:styleId="Footer">
    <w:name w:val="footer"/>
    <w:basedOn w:val="Normal"/>
    <w:link w:val="FooterChar"/>
    <w:uiPriority w:val="99"/>
    <w:unhideWhenUsed/>
    <w:rsid w:val="0058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502"/>
  </w:style>
  <w:style w:type="paragraph" w:styleId="BalloonText">
    <w:name w:val="Balloon Text"/>
    <w:basedOn w:val="Normal"/>
    <w:link w:val="BalloonTextChar"/>
    <w:uiPriority w:val="99"/>
    <w:semiHidden/>
    <w:unhideWhenUsed/>
    <w:rsid w:val="00584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02"/>
    <w:rPr>
      <w:rFonts w:ascii="Tahoma" w:hAnsi="Tahoma" w:cs="Tahoma"/>
      <w:sz w:val="16"/>
      <w:szCs w:val="16"/>
    </w:rPr>
  </w:style>
  <w:style w:type="character" w:styleId="Hyperlink">
    <w:name w:val="Hyperlink"/>
    <w:basedOn w:val="DefaultParagraphFont"/>
    <w:uiPriority w:val="99"/>
    <w:unhideWhenUsed/>
    <w:rsid w:val="00EA04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optumhealthvision.com" TargetMode="External"/><Relationship Id="rId13" Type="http://schemas.openxmlformats.org/officeDocument/2006/relationships/hyperlink" Target="http://resources.hewitt.com/stateofgeorgi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esources.hewitt.com/stateofgeorg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team.georgia.gov/my-benefi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as.ga.gov/StateLocal/HRA/Benefits/FlexBen/2013YouDecideBooklet.pdf" TargetMode="External"/><Relationship Id="rId4" Type="http://schemas.openxmlformats.org/officeDocument/2006/relationships/webSettings" Target="webSettings.xml"/><Relationship Id="rId9" Type="http://schemas.openxmlformats.org/officeDocument/2006/relationships/hyperlink" Target="http://www.bcbsga.com" TargetMode="External"/><Relationship Id="rId14" Type="http://schemas.openxmlformats.org/officeDocument/2006/relationships/hyperlink" Target="http://resources.hewitt.com/stateofgeor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E882-E6CF-40BB-985C-7838A3E3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Georgia Dept of Public Safety</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Carter</dc:creator>
  <cp:lastModifiedBy>Angie Ledford</cp:lastModifiedBy>
  <cp:revision>2</cp:revision>
  <cp:lastPrinted>2013-11-15T18:42:00Z</cp:lastPrinted>
  <dcterms:created xsi:type="dcterms:W3CDTF">2015-10-26T14:01:00Z</dcterms:created>
  <dcterms:modified xsi:type="dcterms:W3CDTF">2015-10-26T14:01:00Z</dcterms:modified>
</cp:coreProperties>
</file>